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stylesWithEffects.xml" ContentType="application/vnd.ms-word.stylesWithEffect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ody>
    <w:p w14:paraId="00000001">
      <w:pPr>
        <w:widowControl w:val="on"/>
        <w:spacing w:after="20"/>
        <w:jc w:val="center"/>
        <w:rPr/>
      </w:pPr>
      <w:r>
        <w:rPr>
          <w:rFonts w:ascii="Aptos Display" w:hAnsi="Aptos Display"/>
          <w:b/>
          <w:color w:val="17365d"/>
          <w:sz w:val="36"/>
        </w:rPr>
        <w:t>Eugene F. Fregetto, Ph.D., C.P.M.</w:t>
      </w:r>
    </w:p>
    <w:p w14:paraId="00000002">
      <w:pPr>
        <w:widowControl w:val="on"/>
        <w:spacing w:after="20"/>
        <w:jc w:val="center"/>
        <w:rPr/>
      </w:pPr>
      <w:r>
        <w:rPr>
          <w:b/>
          <w:sz w:val="21"/>
        </w:rPr>
        <w:t>Clinical Associate Professor of Marketing, Retired | University of Illinois Chicago</w:t>
      </w:r>
    </w:p>
    <w:p w14:paraId="00000003">
      <w:pPr>
        <w:widowControl w:val="on"/>
        <w:spacing w:after="160"/>
        <w:jc w:val="center"/>
        <w:rPr/>
      </w:pPr>
      <w:r>
        <w:t xml:space="preserve">(224) 595-5237  |  fregetto1@yahoo.com  |  </w:t>
      </w:r>
      <w:r>
        <w:rPr>
          <w:rStyle w:val="Hyperlink"/>
        </w:rPr>
        <w:fldChar w:fldCharType="begin"/>
      </w:r>
      <w:r>
        <w:rPr>
          <w:rStyle w:val="Hyperlink"/>
        </w:rPr>
        <w:instrText xml:space="preserve">HYPERLINK "https://eugene-fregetto.astute-drake-7156.chatgpt.site/"</w:instrText>
      </w:r>
      <w:r>
        <w:rPr>
          <w:rStyle w:val="Hyperlink"/>
        </w:rPr>
        <w:fldChar w:fldCharType="separate"/>
      </w:r>
      <w:r>
        <w:rPr>
          <w:rStyle w:val="Hyperlink"/>
        </w:rPr>
        <w:t>https://eugene-fregetto.astute-drake-7156.chatgpt.site/</w:t>
      </w:r>
      <w:r>
        <w:fldChar w:fldCharType="end"/>
      </w:r>
      <w:r>
        <w:t xml:space="preserve"> </w:t>
      </w:r>
    </w:p>
    <w:p w14:paraId="00000004">
      <w:pPr>
        <w:pStyle w:val="CVSection"/>
        <w:widowControl w:val="on"/>
        <w:pBdr>
          <w:bottom w:val="single" w:color="a6b6c8" w:sz="6" w:space="1"/>
        </w:pBdr>
        <w:spacing w:before="160" w:after="60"/>
        <w:rPr/>
      </w:pPr>
      <w:r>
        <w:t>ACADEMIC PROFILE</w:t>
      </w:r>
    </w:p>
    <w:p w14:paraId="00000005">
      <w:pPr>
        <w:widowControl w:val="on"/>
        <w:spacing w:after="40"/>
        <w:rPr/>
      </w:pPr>
      <w:r>
        <w:t>Retired Clinical Associate Professor of Marketing at the University of Illinois Chicago with more than three decades of university teaching and academic service in entrepreneurship, marketing, small business consulting, and public policy. Scholarship and professional work span entrepreneurship education, immigrant and ethnic entrepreneurship, entrepreneurial aspiration and creativity, public procurement, disadvantaged business enterprises, and technology-enabled community development. Longstanding service to USASBE, ICSB, editorial review boards, and international entrepreneurship education initiatives, including extensive engagement with universities and entrepreneurship programs in Sri Lanka and Asia.</w:t>
      </w:r>
    </w:p>
    <w:p w14:paraId="00000006">
      <w:pPr>
        <w:pStyle w:val="CVSubhead"/>
        <w:widowControl w:val="on"/>
        <w:spacing w:before="100" w:after="20"/>
        <w:rPr/>
      </w:pPr>
      <w:r>
        <w:t>Areas of Scholarly and Professional Interest</w:t>
      </w:r>
    </w:p>
    <w:p w14:paraId="00000007">
      <w:pPr>
        <w:widowControl w:val="on"/>
        <w:spacing w:after="40"/>
        <w:rPr/>
      </w:pPr>
      <w:r>
        <w:t>Entrepreneurship education; new venture creation; small business consulting; immigrant and ethnic entrepreneurship; entrepreneurship definitions and theory; entrepreneurial aspiration and creativity; public procurement and disadvantaged business enterprises; digital inclusion and community technology; marketing and consumer behavior.</w:t>
      </w:r>
    </w:p>
    <w:p w14:paraId="00000008">
      <w:pPr>
        <w:pStyle w:val="CVSection"/>
        <w:widowControl w:val="on"/>
        <w:pBdr>
          <w:bottom w:val="single" w:color="a6b6c8" w:sz="6" w:space="1"/>
        </w:pBdr>
        <w:spacing w:before="160" w:after="60"/>
        <w:rPr/>
      </w:pPr>
      <w:r>
        <w:t>EDUCATION</w:t>
      </w:r>
    </w:p>
    <w:p w14:paraId="00000009">
      <w:pPr>
        <w:pStyle w:val="ListBullet"/>
        <w:widowControl w:val="on"/>
        <w:spacing w:after="24"/>
        <w:ind w:left="259" w:hanging="187"/>
        <w:rPr/>
      </w:pPr>
      <w:r>
        <w:t>Ph.D., Public Policy Analysis, University of Illinois at Chicago, Specialization: Procurement Policy, Small Business, Privatization, Distributive Politics, 1997.</w:t>
      </w:r>
    </w:p>
    <w:p w14:paraId="0000000A">
      <w:pPr>
        <w:pStyle w:val="ListBullet"/>
        <w:widowControl w:val="on"/>
        <w:spacing w:after="24"/>
        <w:ind w:left="259" w:hanging="187"/>
        <w:rPr/>
      </w:pPr>
      <w:r>
        <w:t>MBA, DePaul University, Marketing, 1982</w:t>
      </w:r>
    </w:p>
    <w:p w14:paraId="0000000B">
      <w:pPr>
        <w:pStyle w:val="ListBullet"/>
        <w:widowControl w:val="on"/>
        <w:spacing w:after="24"/>
        <w:ind w:left="259" w:hanging="187"/>
        <w:rPr/>
      </w:pPr>
      <w:r>
        <w:t>Architectural and Structural Engineering, Milwaukee School of Engineering, Associate Degree with honors, 1972</w:t>
      </w:r>
    </w:p>
    <w:p w14:paraId="0000000C">
      <w:pPr>
        <w:pStyle w:val="ListBullet"/>
        <w:widowControl w:val="on"/>
        <w:spacing w:after="24"/>
        <w:ind w:left="259" w:hanging="187"/>
        <w:rPr/>
      </w:pPr>
      <w:r>
        <w:t>BA, Marquette University, Journalism, Philosophy minor, December 1970</w:t>
      </w:r>
    </w:p>
    <w:p w14:paraId="0000000D">
      <w:pPr>
        <w:pStyle w:val="CVSection"/>
        <w:widowControl w:val="on"/>
        <w:pBdr>
          <w:bottom w:val="single" w:color="a6b6c8" w:sz="6" w:space="1"/>
        </w:pBdr>
        <w:spacing w:before="160" w:after="60"/>
        <w:rPr/>
      </w:pPr>
      <w:r>
        <w:t>ACADEMIC APPOINTMENTS &amp; LEADERSHIP</w:t>
      </w:r>
    </w:p>
    <w:p w14:paraId="0000000E">
      <w:pPr>
        <w:pStyle w:val="ListBullet"/>
        <w:widowControl w:val="on"/>
        <w:spacing w:after="24"/>
        <w:ind w:left="259" w:hanging="187"/>
        <w:rPr/>
      </w:pPr>
      <w:r>
        <w:t>Clinical Associate Professor of Marketing, University of Illinois at Chicago, College of Business, Managerial Studies, 2000 to 2014 (retired)</w:t>
      </w:r>
    </w:p>
    <w:p w14:paraId="0000000F">
      <w:pPr>
        <w:pStyle w:val="ListBullet"/>
        <w:widowControl w:val="on"/>
        <w:spacing w:after="24"/>
        <w:ind w:left="259" w:hanging="187"/>
        <w:rPr/>
      </w:pPr>
      <w:r>
        <w:t>Lecturer of Marketing, University of Illinois at Chicago, College of Business, Managerial Studies, 1983 to 2000</w:t>
      </w:r>
    </w:p>
    <w:p w14:paraId="00000010">
      <w:pPr>
        <w:pStyle w:val="ListBullet"/>
        <w:widowControl w:val="on"/>
        <w:spacing w:after="24"/>
        <w:ind w:left="259" w:hanging="187"/>
        <w:rPr/>
      </w:pPr>
      <w:r>
        <w:t>Lecturer of Management, DePaul University, Graduate School of Management, 1983 to 1992</w:t>
      </w:r>
    </w:p>
    <w:p w14:paraId="00000011">
      <w:pPr>
        <w:pStyle w:val="ListBullet"/>
        <w:widowControl w:val="on"/>
        <w:spacing w:after="24"/>
        <w:ind w:left="259" w:hanging="187"/>
        <w:rPr/>
      </w:pPr>
      <w:r>
        <w:t>Co-founder and President, Midwest Technology Access Group, Inc., a non- profit, 501(c)3, public policy analysis group, 1992 to present</w:t>
      </w:r>
    </w:p>
    <w:p w14:paraId="00000012">
      <w:pPr>
        <w:pStyle w:val="ListBullet"/>
        <w:widowControl w:val="on"/>
        <w:spacing w:after="24"/>
        <w:ind w:left="259" w:hanging="187"/>
        <w:rPr/>
      </w:pPr>
      <w:r>
        <w:t>Administrative Agent for the Illinois Community Technology Consortium, 2001 to 2007</w:t>
      </w:r>
    </w:p>
    <w:p w14:paraId="00000013">
      <w:pPr>
        <w:pStyle w:val="ListBullet"/>
        <w:widowControl w:val="on"/>
        <w:spacing w:after="24"/>
        <w:ind w:left="259" w:hanging="187"/>
        <w:rPr/>
      </w:pPr>
      <w:r>
        <w:t>1983-2000 Director, University of Illinois at Chicago Small Business Institute</w:t>
      </w:r>
    </w:p>
    <w:p w14:paraId="00000014">
      <w:pPr>
        <w:pStyle w:val="ListBullet"/>
        <w:widowControl w:val="on"/>
        <w:spacing w:after="24"/>
        <w:ind w:left="259" w:hanging="187"/>
        <w:rPr/>
      </w:pPr>
      <w:r>
        <w:t>1999 Lecturer, DeVry University, Chicago, Illinois</w:t>
      </w:r>
    </w:p>
    <w:p w14:paraId="00000015">
      <w:pPr>
        <w:pStyle w:val="ListBullet"/>
        <w:widowControl w:val="on"/>
        <w:spacing w:after="24"/>
        <w:ind w:left="259" w:hanging="187"/>
        <w:rPr/>
      </w:pPr>
      <w:r>
        <w:t>1989-2002 Lecturer, Columbia College of Missouri</w:t>
      </w:r>
    </w:p>
    <w:p w14:paraId="00000016">
      <w:pPr>
        <w:pStyle w:val="ListBullet"/>
        <w:widowControl w:val="on"/>
        <w:spacing w:after="24"/>
        <w:ind w:left="259" w:hanging="187"/>
        <w:rPr/>
      </w:pPr>
      <w:r>
        <w:t>1984 Lecturer, Oakton Community College</w:t>
      </w:r>
    </w:p>
    <w:p w14:paraId="00000017">
      <w:pPr>
        <w:pStyle w:val="ListBullet"/>
        <w:widowControl w:val="on"/>
        <w:spacing w:after="24"/>
        <w:ind w:left="259" w:hanging="187"/>
        <w:rPr/>
      </w:pPr>
      <w:r>
        <w:t>1984-1985 Co-developer of the MBA Concentration in Entrepreneurship, DePaul University</w:t>
      </w:r>
    </w:p>
    <w:p w14:paraId="00000018">
      <w:pPr>
        <w:pStyle w:val="ListBullet"/>
        <w:widowControl w:val="on"/>
        <w:spacing w:after="24"/>
        <w:ind w:left="259" w:hanging="187"/>
        <w:rPr/>
      </w:pPr>
      <w:r>
        <w:t>1985-1986 Acting Director of Entrepreneurial Studies at DePaul University</w:t>
      </w:r>
    </w:p>
    <w:p w14:paraId="00000019">
      <w:pPr>
        <w:pStyle w:val="ListBullet"/>
        <w:widowControl w:val="on"/>
        <w:spacing w:after="24"/>
        <w:ind w:left="259" w:hanging="187"/>
        <w:rPr/>
      </w:pPr>
      <w:r>
        <w:t>1985-1986 Faculty Moderator for DePaul University's Collegiate Entrepreneurship Club</w:t>
      </w:r>
    </w:p>
    <w:p w14:paraId="0000001A">
      <w:pPr>
        <w:pStyle w:val="ListBullet"/>
        <w:widowControl w:val="on"/>
        <w:spacing w:after="24"/>
        <w:ind w:left="259" w:hanging="187"/>
        <w:rPr/>
      </w:pPr>
      <w:r>
        <w:t>1987 Faculty advisor to the first Midwest Collegiate Entrepreneurship Conference</w:t>
      </w:r>
    </w:p>
    <w:p w14:paraId="0000001B">
      <w:pPr>
        <w:pStyle w:val="CVSection"/>
        <w:widowControl w:val="on"/>
        <w:pBdr>
          <w:bottom w:val="single" w:color="a6b6c8" w:sz="6" w:space="1"/>
        </w:pBdr>
        <w:spacing w:before="160" w:after="60"/>
        <w:rPr/>
      </w:pPr>
      <w:r>
        <w:rPr/>
        <w:br w:type="page"/>
      </w:r>
    </w:p>
    <w:p w14:paraId="0000001C">
      <w:pPr>
        <w:pStyle w:val="CVSection"/>
        <w:widowControl w:val="on"/>
        <w:pBdr>
          <w:bottom w:val="single" w:color="a6b6c8" w:sz="6" w:space="1"/>
        </w:pBdr>
        <w:spacing w:before="160" w:after="60"/>
        <w:rPr/>
      </w:pPr>
      <w:r>
        <w:t>TEACHING PORTFOLIO</w:t>
      </w:r>
    </w:p>
    <w:p w14:paraId="0000001D">
      <w:pPr>
        <w:pStyle w:val="CVSubhead"/>
        <w:widowControl w:val="on"/>
        <w:spacing w:before="100" w:after="20"/>
        <w:rPr/>
      </w:pPr>
      <w:r>
        <w:t>Graduate Courses</w:t>
      </w:r>
    </w:p>
    <w:p w14:paraId="0000001E">
      <w:pPr>
        <w:pStyle w:val="ListBullet"/>
        <w:widowControl w:val="on"/>
        <w:spacing w:after="24"/>
        <w:ind w:left="259" w:hanging="187"/>
        <w:rPr/>
      </w:pPr>
      <w:r>
        <w:t>Marketing Management (MKTG 560), UIC, Fall 2011 and Spring 2012</w:t>
      </w:r>
    </w:p>
    <w:p w14:paraId="0000001F">
      <w:pPr>
        <w:pStyle w:val="ListBullet"/>
        <w:widowControl w:val="on"/>
        <w:spacing w:after="24"/>
        <w:ind w:left="259" w:hanging="187"/>
        <w:rPr/>
      </w:pPr>
      <w:r>
        <w:t>Management of Small Business: Theory and Application (MGT 521), DePaul University, 1983-1991</w:t>
      </w:r>
    </w:p>
    <w:p w14:paraId="00000020">
      <w:pPr>
        <w:pStyle w:val="ListBullet"/>
        <w:widowControl w:val="on"/>
        <w:spacing w:after="24"/>
        <w:ind w:left="259" w:hanging="187"/>
        <w:rPr/>
      </w:pPr>
      <w:r>
        <w:t>Entrepreneurship: New Venture Creation (ENTR 555), UIC, 1987-2004</w:t>
      </w:r>
    </w:p>
    <w:p w14:paraId="00000021">
      <w:pPr>
        <w:pStyle w:val="ListBullet"/>
        <w:widowControl w:val="on"/>
        <w:spacing w:after="24"/>
        <w:ind w:left="259" w:hanging="187"/>
        <w:rPr/>
      </w:pPr>
      <w:r>
        <w:t>Marketing for Not-for-Profit Organizations (MPS 524), DePaul University</w:t>
      </w:r>
    </w:p>
    <w:p w14:paraId="00000022">
      <w:pPr>
        <w:pStyle w:val="ListBullet"/>
        <w:widowControl w:val="on"/>
        <w:spacing w:after="24"/>
        <w:ind w:left="259" w:hanging="187"/>
        <w:rPr/>
      </w:pPr>
      <w:r>
        <w:t>Corporate Ventures: Intrapreneurship (MGT 572), DePaul University, 1987-1991</w:t>
      </w:r>
    </w:p>
    <w:p w14:paraId="00000023">
      <w:pPr>
        <w:pStyle w:val="ListBullet"/>
        <w:widowControl w:val="on"/>
        <w:spacing w:after="24"/>
        <w:ind w:left="259" w:hanging="187"/>
        <w:rPr/>
      </w:pPr>
      <w:r>
        <w:t>Product Management (MKTG 574), UIC, 1996-2000</w:t>
      </w:r>
    </w:p>
    <w:p w14:paraId="00000024">
      <w:pPr>
        <w:pStyle w:val="ListBullet"/>
        <w:widowControl w:val="on"/>
        <w:spacing w:after="24"/>
        <w:ind w:left="259" w:hanging="187"/>
        <w:rPr/>
      </w:pPr>
      <w:r>
        <w:t>Government Contracts (MBA 590), Spring 2006</w:t>
      </w:r>
    </w:p>
    <w:p w14:paraId="00000025">
      <w:pPr>
        <w:pStyle w:val="ListBullet"/>
        <w:widowControl w:val="on"/>
        <w:spacing w:after="24"/>
        <w:ind w:left="259" w:hanging="187"/>
        <w:rPr/>
      </w:pPr>
      <w:r>
        <w:t>UIC US-Asia Executive Development Program, 2006-2013</w:t>
      </w:r>
    </w:p>
    <w:p w14:paraId="00000026">
      <w:pPr>
        <w:pStyle w:val="CVSubhead"/>
        <w:widowControl w:val="on"/>
        <w:spacing w:before="100" w:after="20"/>
        <w:rPr/>
      </w:pPr>
      <w:r>
        <w:t>Undergraduate Courses</w:t>
      </w:r>
    </w:p>
    <w:p w14:paraId="00000027">
      <w:pPr>
        <w:pStyle w:val="ListBullet"/>
        <w:widowControl w:val="on"/>
        <w:spacing w:after="24"/>
        <w:ind w:left="259" w:hanging="187"/>
        <w:rPr/>
      </w:pPr>
      <w:r>
        <w:t>Introduction to Entrepreneurship (ENTR 310), Fall 2012-2014</w:t>
      </w:r>
    </w:p>
    <w:p w14:paraId="00000028">
      <w:pPr>
        <w:pStyle w:val="ListBullet"/>
        <w:widowControl w:val="on"/>
        <w:spacing w:after="24"/>
        <w:ind w:left="259" w:hanging="187"/>
        <w:rPr/>
      </w:pPr>
      <w:r>
        <w:t>Marketing Management (MKTG 465), UIC, Spring 2012-2014</w:t>
      </w:r>
    </w:p>
    <w:p w14:paraId="00000029">
      <w:pPr>
        <w:pStyle w:val="ListBullet"/>
        <w:widowControl w:val="on"/>
        <w:spacing w:after="24"/>
        <w:ind w:left="259" w:hanging="187"/>
        <w:rPr/>
      </w:pPr>
      <w:r>
        <w:t>Business-to-Business Marketing (MKTG 476), UIC, 2006-2008</w:t>
      </w:r>
    </w:p>
    <w:p w14:paraId="0000002A">
      <w:pPr>
        <w:pStyle w:val="ListBullet"/>
        <w:widowControl w:val="on"/>
        <w:spacing w:after="24"/>
        <w:ind w:left="259" w:hanging="187"/>
        <w:rPr/>
      </w:pPr>
      <w:r>
        <w:t>Small Business Consulting (ENTR 464), UIC, 1983-2012</w:t>
      </w:r>
    </w:p>
    <w:p w14:paraId="0000002B">
      <w:pPr>
        <w:pStyle w:val="ListBullet"/>
        <w:widowControl w:val="on"/>
        <w:spacing w:after="24"/>
        <w:ind w:left="259" w:hanging="187"/>
        <w:rPr/>
      </w:pPr>
      <w:r>
        <w:t>Entrepreneurship: New Venture Creation (ENTR 454), UIC, 1983-2014</w:t>
      </w:r>
    </w:p>
    <w:p w14:paraId="0000002C">
      <w:pPr>
        <w:pStyle w:val="ListBullet"/>
        <w:widowControl w:val="on"/>
        <w:spacing w:after="24"/>
        <w:ind w:left="259" w:hanging="187"/>
        <w:rPr/>
      </w:pPr>
      <w:r>
        <w:t>Family Business Management (ENTR 430), UIC, 2009-2010</w:t>
      </w:r>
    </w:p>
    <w:p w14:paraId="0000002D">
      <w:pPr>
        <w:pStyle w:val="ListBullet"/>
        <w:widowControl w:val="on"/>
        <w:spacing w:after="24"/>
        <w:ind w:left="259" w:hanging="187"/>
        <w:rPr/>
      </w:pPr>
      <w:r>
        <w:t>Consumer Behavior (MKTG 461), UIC, 1998-2014</w:t>
      </w:r>
    </w:p>
    <w:p w14:paraId="0000002E">
      <w:pPr>
        <w:pStyle w:val="ListBullet"/>
        <w:widowControl w:val="on"/>
        <w:spacing w:after="24"/>
        <w:ind w:left="259" w:hanging="187"/>
        <w:rPr/>
      </w:pPr>
      <w:r>
        <w:t>Microeconomics (ECON 294), Columbia College of Missouri, 1998-2002</w:t>
      </w:r>
    </w:p>
    <w:p w14:paraId="0000002F">
      <w:pPr>
        <w:pStyle w:val="ListBullet"/>
        <w:widowControl w:val="on"/>
        <w:spacing w:after="24"/>
        <w:ind w:left="259" w:hanging="187"/>
        <w:rPr/>
      </w:pPr>
      <w:r>
        <w:t>Macroeconomics (ECON 293), Columbia College of Missouri, 1998-2002</w:t>
      </w:r>
    </w:p>
    <w:p w14:paraId="00000030">
      <w:pPr>
        <w:pStyle w:val="ListBullet"/>
        <w:widowControl w:val="on"/>
        <w:spacing w:after="24"/>
        <w:ind w:left="259" w:hanging="187"/>
        <w:rPr/>
      </w:pPr>
      <w:r>
        <w:t>Commercial Banking (FIN 395), Columbia College of Missouri, 1998-1999</w:t>
      </w:r>
    </w:p>
    <w:p w14:paraId="00000031">
      <w:pPr>
        <w:pStyle w:val="ListBullet"/>
        <w:widowControl w:val="on"/>
        <w:spacing w:after="24"/>
        <w:ind w:left="259" w:hanging="187"/>
        <w:rPr/>
      </w:pPr>
      <w:r>
        <w:t>Economics, DeVry College, Chicago, 1999</w:t>
      </w:r>
    </w:p>
    <w:p w14:paraId="00000032">
      <w:pPr>
        <w:pStyle w:val="ListBullet"/>
        <w:widowControl w:val="on"/>
        <w:spacing w:after="24"/>
        <w:ind w:left="259" w:hanging="187"/>
        <w:rPr/>
      </w:pPr>
      <w:r>
        <w:t>Marketing Research (MKTG 462), UIC, 2002-2014</w:t>
      </w:r>
    </w:p>
    <w:p w14:paraId="00000033">
      <w:pPr>
        <w:pStyle w:val="ListBullet"/>
        <w:widowControl w:val="on"/>
        <w:spacing w:after="24"/>
        <w:ind w:left="259" w:hanging="187"/>
        <w:rPr/>
      </w:pPr>
      <w:r>
        <w:t>Personal Sales (MKTG 473), UIC, 2002-2014</w:t>
      </w:r>
    </w:p>
    <w:p w14:paraId="00000034">
      <w:pPr>
        <w:pStyle w:val="ListBullet"/>
        <w:widowControl w:val="on"/>
        <w:spacing w:after="24"/>
        <w:ind w:left="259" w:hanging="187"/>
        <w:rPr/>
      </w:pPr>
      <w:r>
        <w:t>Global Marketing (MKTG 469), UIC, 2000-2014; also taught online</w:t>
      </w:r>
    </w:p>
    <w:p w14:paraId="00000035">
      <w:pPr>
        <w:pStyle w:val="ListBullet"/>
        <w:widowControl w:val="on"/>
        <w:spacing w:after="24"/>
        <w:ind w:left="259" w:hanging="187"/>
        <w:rPr/>
      </w:pPr>
      <w:r>
        <w:t>Product Management (MKTG 475), UIC, 1999-2000</w:t>
      </w:r>
    </w:p>
    <w:p w14:paraId="00000036">
      <w:pPr>
        <w:pStyle w:val="ListBullet"/>
        <w:widowControl w:val="on"/>
        <w:spacing w:after="24"/>
        <w:ind w:left="259" w:hanging="187"/>
        <w:rPr/>
      </w:pPr>
      <w:r>
        <w:t>Negotiations (MGT 463), UIC BBA online program, 2010-2011</w:t>
      </w:r>
    </w:p>
    <w:p w14:paraId="00000037">
      <w:pPr>
        <w:pStyle w:val="CVSection"/>
        <w:widowControl w:val="on"/>
        <w:pBdr>
          <w:bottom w:val="single" w:color="a6b6c8" w:sz="6" w:space="1"/>
        </w:pBdr>
        <w:spacing w:before="160" w:after="60"/>
        <w:rPr/>
      </w:pPr>
      <w:r>
        <w:t>CURRICULUM &amp; COURSE DEVELOPMENT</w:t>
      </w:r>
    </w:p>
    <w:p w14:paraId="00000038">
      <w:pPr>
        <w:pStyle w:val="ListBullet"/>
        <w:widowControl w:val="on"/>
        <w:spacing w:after="24"/>
        <w:ind w:left="259" w:hanging="187"/>
        <w:rPr/>
      </w:pPr>
      <w:r>
        <w:t>Corporate Ventures, DePaul University, 1987</w:t>
      </w:r>
    </w:p>
    <w:p w14:paraId="00000039">
      <w:pPr>
        <w:pStyle w:val="ListBullet"/>
        <w:widowControl w:val="on"/>
        <w:spacing w:after="24"/>
        <w:ind w:left="259" w:hanging="187"/>
        <w:rPr/>
      </w:pPr>
      <w:r>
        <w:t>Government Contracting, UIC, 2006</w:t>
      </w:r>
    </w:p>
    <w:p w14:paraId="0000003A">
      <w:pPr>
        <w:pStyle w:val="ListBullet"/>
        <w:widowControl w:val="on"/>
        <w:spacing w:after="24"/>
        <w:ind w:left="259" w:hanging="187"/>
        <w:rPr/>
      </w:pPr>
      <w:r>
        <w:t>Negotiations: online course for UIC's BBA online degree program, 2010</w:t>
      </w:r>
    </w:p>
    <w:p w14:paraId="0000003B">
      <w:pPr>
        <w:pStyle w:val="ListBullet"/>
        <w:widowControl w:val="on"/>
        <w:spacing w:after="24"/>
        <w:ind w:left="259" w:hanging="187"/>
        <w:rPr/>
      </w:pPr>
      <w:r>
        <w:t>Introduction to Entrepreneurship (ENTR 310), Fall 2012</w:t>
      </w:r>
    </w:p>
    <w:p w14:paraId="0000003C">
      <w:pPr>
        <w:pStyle w:val="ListBullet"/>
        <w:widowControl w:val="on"/>
        <w:spacing w:after="24"/>
        <w:ind w:left="259" w:hanging="187"/>
        <w:rPr/>
      </w:pPr>
      <w:r>
        <w:t>1987 Created a new course for DePaul University Graduate School of Business for Corporate Entrepreneurship; DePaul's academic committee gave it a permanent course number based on the proposal</w:t>
      </w:r>
    </w:p>
    <w:p w14:paraId="0000003D">
      <w:pPr>
        <w:pStyle w:val="ListBullet"/>
        <w:widowControl w:val="on"/>
        <w:spacing w:after="24"/>
        <w:ind w:left="259" w:hanging="187"/>
        <w:rPr/>
      </w:pPr>
      <w:r>
        <w:t>1986-1987 Program Developer, Certificate in Purchasing Management offered by DePaul University and co-sponsored by PMAC</w:t>
      </w:r>
    </w:p>
    <w:p w14:paraId="0000003E">
      <w:pPr>
        <w:pStyle w:val="CVSection"/>
        <w:widowControl w:val="on"/>
        <w:pBdr>
          <w:bottom w:val="single" w:color="a6b6c8" w:sz="6" w:space="1"/>
        </w:pBdr>
        <w:spacing w:before="160" w:after="60"/>
        <w:rPr/>
      </w:pPr>
      <w:r>
        <w:t>EDITORIAL, PEER REVIEW &amp; ACADEMIC SERVICE</w:t>
      </w:r>
    </w:p>
    <w:p w14:paraId="0000003F">
      <w:pPr>
        <w:pStyle w:val="ListBullet"/>
        <w:widowControl w:val="on"/>
        <w:spacing w:after="24"/>
        <w:ind w:left="259" w:hanging="187"/>
        <w:rPr/>
      </w:pPr>
      <w:r>
        <w:t>Reviewer for the 2026 Sri Lankan Journal of Entrepreneurship (SLJE). SLJE is a peer-reviewed journal and it is published biannually by the Department of Entrepreneurship Faculty of Management Studies, University of Sri Jayewardenepura, Sri Lanka.</w:t>
      </w:r>
    </w:p>
    <w:p w14:paraId="00000040">
      <w:pPr>
        <w:pStyle w:val="ListBullet"/>
        <w:widowControl w:val="on"/>
        <w:spacing w:after="24"/>
        <w:ind w:left="259" w:hanging="187"/>
        <w:rPr/>
      </w:pPr>
      <w:r>
        <w:t>Reviewer for the 2025 Sri Lankan Journal of Entrepreneurship (SLJE). SLJE is a peer-reviewed journal and it is published biannually by the Department of Entrepreneurship Faculty of Management Studies, University of Sri Jayewardenepura, Sri Lanka.</w:t>
      </w:r>
    </w:p>
    <w:p w14:paraId="00000041">
      <w:pPr>
        <w:pStyle w:val="ListBullet"/>
        <w:widowControl w:val="on"/>
        <w:spacing w:after="24"/>
        <w:ind w:left="259" w:hanging="187"/>
        <w:rPr/>
      </w:pPr>
      <w:r>
        <w:t>Technical Committee, 3rd International Conference on Education and E- Learning (ICEEL 2019), University of Barcelona, Spain, November 5-7, 2019.</w:t>
      </w:r>
    </w:p>
    <w:p w14:paraId="00000042">
      <w:pPr>
        <w:pStyle w:val="ListBullet"/>
        <w:widowControl w:val="on"/>
        <w:spacing w:after="24"/>
        <w:ind w:left="259" w:hanging="187"/>
        <w:rPr/>
      </w:pPr>
      <w:r>
        <w:t>Editorial Review Board, ASEAN Entrepreneurship Journal, ISSN 2289-2125 (print), 2637-0301 (online), 2019 to 2022.</w:t>
      </w:r>
    </w:p>
    <w:p w14:paraId="00000043">
      <w:pPr>
        <w:pStyle w:val="ListBullet"/>
        <w:widowControl w:val="on"/>
        <w:spacing w:after="24"/>
        <w:ind w:left="259" w:hanging="187"/>
        <w:rPr/>
      </w:pPr>
      <w:r>
        <w:t>Editorial Review Board, Journal of International Migrations and Integration, ISSN 1488-3473 (print version), 1874-6365 (electronic version), 2018 to 2020.</w:t>
      </w:r>
    </w:p>
    <w:p w14:paraId="00000044">
      <w:pPr>
        <w:pStyle w:val="ListBullet"/>
        <w:widowControl w:val="on"/>
        <w:spacing w:after="24"/>
        <w:ind w:left="259" w:hanging="187"/>
        <w:rPr/>
      </w:pPr>
      <w:r>
        <w:t>Editorial Review Board, American Journal of Theoretical and Applied Business (http://www.sciencepublishinggroup.com/j/ajtab), an Open Access journal, a journal of Science Publishing Group, 2018 to 2020.</w:t>
      </w:r>
    </w:p>
    <w:p w14:paraId="00000045">
      <w:pPr>
        <w:pStyle w:val="ListBullet"/>
        <w:widowControl w:val="on"/>
        <w:spacing w:after="24"/>
        <w:ind w:left="259" w:hanging="187"/>
        <w:rPr/>
      </w:pPr>
      <w:r>
        <w:t>Paper Reviewer, 2019 USASBE National Conference, St. Pet Beach, Florida, Jan 23-27, 2019.</w:t>
      </w:r>
    </w:p>
    <w:p w14:paraId="00000046">
      <w:pPr>
        <w:pStyle w:val="ListBullet"/>
        <w:widowControl w:val="on"/>
        <w:spacing w:after="24"/>
        <w:ind w:left="259" w:hanging="187"/>
        <w:rPr/>
      </w:pPr>
      <w:r>
        <w:t>Technical Committee, 2nd International Conference on Education and E- Learning (ICEEL 2018) held in Bali, Indonesia November 5-7, 2018.</w:t>
      </w:r>
    </w:p>
    <w:p w14:paraId="00000047">
      <w:pPr>
        <w:pStyle w:val="ListBullet"/>
        <w:widowControl w:val="on"/>
        <w:spacing w:after="24"/>
        <w:ind w:left="259" w:hanging="187"/>
        <w:rPr/>
      </w:pPr>
      <w:r>
        <w:t>Program Committee for ICSB 2016 World Conference held in NJ/NY, USA, on June 15-18, 2016.</w:t>
      </w:r>
    </w:p>
    <w:p w14:paraId="00000048">
      <w:pPr>
        <w:pStyle w:val="ListBullet"/>
        <w:widowControl w:val="on"/>
        <w:spacing w:after="24"/>
        <w:ind w:left="259" w:hanging="187"/>
        <w:rPr/>
      </w:pPr>
      <w:r>
        <w:t>Editorial Review Board, Journal of Small Business Strategy, 2006-2015</w:t>
      </w:r>
    </w:p>
    <w:p w14:paraId="00000049">
      <w:pPr>
        <w:pStyle w:val="ListBullet"/>
        <w:widowControl w:val="on"/>
        <w:spacing w:after="24"/>
        <w:ind w:left="259" w:hanging="187"/>
        <w:rPr/>
      </w:pPr>
      <w:r>
        <w:t>Editorial Review Board, Journal of Developmental Entrepreneurship, 2001- 2015</w:t>
      </w:r>
    </w:p>
    <w:p w14:paraId="0000004A">
      <w:pPr>
        <w:pStyle w:val="ListBullet"/>
        <w:widowControl w:val="on"/>
        <w:spacing w:after="24"/>
        <w:ind w:left="259" w:hanging="187"/>
        <w:rPr/>
      </w:pPr>
      <w:r>
        <w:t>Editorial Review Board, Journal of Ethics &amp; Entrepreneurship, 2010 to 2015</w:t>
      </w:r>
    </w:p>
    <w:p w14:paraId="0000004B">
      <w:pPr>
        <w:pStyle w:val="ListBullet"/>
        <w:widowControl w:val="on"/>
        <w:spacing w:after="24"/>
        <w:ind w:left="259" w:hanging="187"/>
        <w:rPr/>
      </w:pPr>
      <w:r>
        <w:t>ICSB 2015 World Conference, Track Chair - Public Policy, Dubai, UAE</w:t>
      </w:r>
    </w:p>
    <w:p w14:paraId="0000004C">
      <w:pPr>
        <w:pStyle w:val="ListBullet"/>
        <w:widowControl w:val="on"/>
        <w:spacing w:after="24"/>
        <w:ind w:left="259" w:hanging="187"/>
        <w:rPr/>
      </w:pPr>
      <w:r>
        <w:t>Competitive Paper Reviewer, USASBE National Conference Proceedings, 2000 to 2018.</w:t>
      </w:r>
    </w:p>
    <w:p w14:paraId="0000004D">
      <w:pPr>
        <w:pStyle w:val="ListBullet"/>
        <w:widowControl w:val="on"/>
        <w:spacing w:after="24"/>
        <w:ind w:left="259" w:hanging="187"/>
        <w:rPr/>
      </w:pPr>
      <w:r>
        <w:t>USASBE, Vice-President, Individual Entrepreneurship Division, 2007 - 2008</w:t>
      </w:r>
    </w:p>
    <w:p w14:paraId="0000004E">
      <w:pPr>
        <w:pStyle w:val="ListBullet"/>
        <w:widowControl w:val="on"/>
        <w:spacing w:after="24"/>
        <w:ind w:left="259" w:hanging="187"/>
        <w:rPr/>
      </w:pPr>
      <w:r>
        <w:t>Co-Chair, International Council for Small Business 50th World Conference, Entrepreneurship and Economic Development Division, October 2004 - June 2005</w:t>
      </w:r>
    </w:p>
    <w:p w14:paraId="0000004F">
      <w:pPr>
        <w:pStyle w:val="ListBullet"/>
        <w:widowControl w:val="on"/>
        <w:spacing w:after="24"/>
        <w:ind w:left="259" w:hanging="187"/>
        <w:rPr/>
      </w:pPr>
      <w:r>
        <w:t>USASBE, Program Chair, Individual Entrepreneurship Division, 2005-06</w:t>
      </w:r>
    </w:p>
    <w:p w14:paraId="00000050">
      <w:pPr>
        <w:pStyle w:val="ListBullet"/>
        <w:widowControl w:val="on"/>
        <w:spacing w:after="24"/>
        <w:ind w:left="259" w:hanging="187"/>
        <w:rPr/>
      </w:pPr>
      <w:r>
        <w:t>USASBE , V.P. of Minority and Women Entrepreneurship Division, 2003-2004</w:t>
      </w:r>
    </w:p>
    <w:p w14:paraId="00000051">
      <w:pPr>
        <w:pStyle w:val="ListBullet"/>
        <w:widowControl w:val="on"/>
        <w:spacing w:after="24"/>
        <w:ind w:left="259" w:hanging="187"/>
        <w:rPr/>
      </w:pPr>
      <w:r>
        <w:t>USASBE , Program Chair, Minority and Women Entrepreneurship Division 2002- 2003</w:t>
      </w:r>
    </w:p>
    <w:p w14:paraId="00000052">
      <w:pPr>
        <w:pStyle w:val="ListBullet"/>
        <w:widowControl w:val="on"/>
        <w:spacing w:after="24"/>
        <w:ind w:left="259" w:hanging="187"/>
        <w:rPr/>
      </w:pPr>
      <w:r>
        <w:t>USASBE V.P. of Finance, 1983-1991</w:t>
      </w:r>
    </w:p>
    <w:p w14:paraId="00000053">
      <w:pPr>
        <w:pStyle w:val="CVSection"/>
        <w:widowControl w:val="on"/>
        <w:pBdr>
          <w:bottom w:val="single" w:color="a6b6c8" w:sz="6" w:space="1"/>
        </w:pBdr>
        <w:spacing w:before="160" w:after="60"/>
        <w:rPr/>
      </w:pPr>
      <w:r>
        <w:t>PROFESSIONAL ASSOCIATION LEADERSHIP &amp; SERVICE</w:t>
      </w:r>
    </w:p>
    <w:p w14:paraId="00000054">
      <w:pPr>
        <w:pStyle w:val="ListBullet"/>
        <w:widowControl w:val="on"/>
        <w:spacing w:after="24"/>
        <w:ind w:left="259" w:hanging="187"/>
        <w:rPr/>
      </w:pPr>
      <w:r>
        <w:t>1983-1991 Vice President for Finance, United States Association for Entrepreneurship and Small Business</w:t>
      </w:r>
    </w:p>
    <w:p w14:paraId="00000055">
      <w:pPr>
        <w:pStyle w:val="ListBullet"/>
        <w:widowControl w:val="on"/>
        <w:spacing w:after="24"/>
        <w:ind w:left="259" w:hanging="187"/>
        <w:rPr/>
      </w:pPr>
      <w:r>
        <w:t>1984-1990 Purchasing Management Association of Chicago: Member, Minority Purchasing Committee (1984-1985); Member, Small Business Purchasing Department Committee (1985-1986); Co-Chairman, Professional Development Committee (1987-1988); Chairman, Professional Development Committee (1988-1990)</w:t>
      </w:r>
    </w:p>
    <w:p w14:paraId="00000056">
      <w:pPr>
        <w:pStyle w:val="ListBullet"/>
        <w:widowControl w:val="on"/>
        <w:spacing w:after="24"/>
        <w:ind w:left="259" w:hanging="187"/>
        <w:rPr/>
      </w:pPr>
      <w:r>
        <w:t>1987-1988 National Association of Purchasing Management: Member, Minority Business Development Group</w:t>
      </w:r>
    </w:p>
    <w:p w14:paraId="00000057">
      <w:pPr>
        <w:pStyle w:val="CVSection"/>
        <w:widowControl w:val="on"/>
        <w:pBdr>
          <w:bottom w:val="single" w:color="a6b6c8" w:sz="6" w:space="1"/>
        </w:pBdr>
        <w:spacing w:before="160" w:after="60"/>
        <w:rPr/>
      </w:pPr>
      <w:r>
        <w:t>PUBLICATIONS &amp; SCHOLARLY WORKS</w:t>
      </w:r>
    </w:p>
    <w:p w14:paraId="00000058">
      <w:pPr>
        <w:pStyle w:val="ListBullet"/>
        <w:widowControl w:val="on"/>
        <w:spacing w:after="24"/>
        <w:ind w:left="259" w:hanging="187"/>
        <w:rPr/>
      </w:pPr>
      <w:r>
        <w:t>"Entrepreneurial Aspiration in the Creative Age," ICSB Expert Post, January 6, 2026 https://icsb.org/expert/eugene-fregetto/entrepreneurial-aspiration- in-the-creative-age/?preview_id=6966.</w:t>
      </w:r>
    </w:p>
    <w:p w14:paraId="00000059">
      <w:pPr>
        <w:pStyle w:val="ListBullet"/>
        <w:widowControl w:val="on"/>
        <w:spacing w:after="24"/>
        <w:ind w:left="259" w:hanging="187"/>
        <w:rPr/>
      </w:pPr>
      <w:r>
        <w:t>Fregetto E, What is limiting entrepreneurship education? , SCIREA Journal of Education. Volume 10, Issue 6, December 2025 | PP. 299-343. 10.54647/education880635</w:t>
      </w:r>
    </w:p>
    <w:p w14:paraId="0000005A">
      <w:pPr>
        <w:pStyle w:val="ListBullet"/>
        <w:widowControl w:val="on"/>
        <w:spacing w:after="24"/>
        <w:ind w:left="259" w:hanging="187"/>
        <w:rPr/>
      </w:pPr>
      <w:r>
        <w:t>Fregetto E, GEE's Future: Cultivate Butterflies Beyond Basics, Nurture Transformation , SCIREA Journal of Education. Volume 10, Issue 5, October 2025 | PP. 226-269. 10.54647/education880627</w:t>
      </w:r>
    </w:p>
    <w:p w14:paraId="0000005B">
      <w:pPr>
        <w:pStyle w:val="ListBullet"/>
        <w:widowControl w:val="on"/>
        <w:spacing w:after="24"/>
        <w:ind w:left="259" w:hanging="187"/>
        <w:rPr/>
      </w:pPr>
      <w:r>
        <w:t>"An Essay: Build Your Own from the Ground Up," Conference proceedings, 4th ASEAN Entrepreneurship Conference (ACE) 2018, Ho Chi Minh, Vietnam. Best paper award.</w:t>
      </w:r>
    </w:p>
    <w:p w14:paraId="0000005C">
      <w:pPr>
        <w:pStyle w:val="ListBullet"/>
        <w:widowControl w:val="on"/>
        <w:spacing w:after="24"/>
        <w:ind w:left="259" w:hanging="187"/>
        <w:rPr/>
      </w:pPr>
      <w:r>
        <w:t>"Urban Creativity: An Entrepreneurial Focus," co-author: Shoshanah Goldberg- Miller from The Ohio State University, under consideration by the Journal of Enterprising Culture, 2016.</w:t>
      </w:r>
    </w:p>
    <w:p w14:paraId="0000005D">
      <w:pPr>
        <w:pStyle w:val="ListBullet"/>
        <w:widowControl w:val="on"/>
        <w:spacing w:after="24"/>
        <w:ind w:left="259" w:hanging="187"/>
        <w:rPr/>
      </w:pPr>
      <w:r>
        <w:t>"Why the Creative Class is Relevant to Entrepreneurship," Conference Proceedings, 3rd Annual Conference of the Asia Council for Small Business 2015</w:t>
      </w:r>
    </w:p>
    <w:p w14:paraId="0000005E">
      <w:pPr>
        <w:pStyle w:val="ListBullet"/>
        <w:widowControl w:val="on"/>
        <w:spacing w:after="24"/>
        <w:ind w:left="259" w:hanging="187"/>
        <w:rPr/>
      </w:pPr>
      <w:r>
        <w:t>"Unionization of Higher Education in the U.S.," Conference Proceedings, ICSB 2015 World Conference, Dubai, UAE</w:t>
      </w:r>
    </w:p>
    <w:p w14:paraId="0000005F">
      <w:pPr>
        <w:pStyle w:val="ListBullet"/>
        <w:widowControl w:val="on"/>
        <w:spacing w:after="24"/>
        <w:ind w:left="259" w:hanging="187"/>
        <w:rPr/>
      </w:pPr>
      <w:r>
        <w:t>"Investigating the Impact of a Small Business Consulting Course on Entrepreneurial Attitudes," Journal of Business Strategy, Volume 25, Issue 1, 2015</w:t>
      </w:r>
    </w:p>
    <w:p w14:paraId="00000060">
      <w:pPr>
        <w:pStyle w:val="ListBullet"/>
        <w:widowControl w:val="on"/>
        <w:spacing w:after="24"/>
        <w:ind w:left="259" w:hanging="187"/>
        <w:rPr/>
      </w:pPr>
      <w:r>
        <w:t>"Investigating the Impact of a Small Business Consulting on Entrepreneurial Attitudes," Conference Proceedings, the 2nd Asian SME Conference, Seoul, Korea, Oct 2014</w:t>
      </w:r>
    </w:p>
    <w:p w14:paraId="00000061">
      <w:pPr>
        <w:pStyle w:val="ListBullet"/>
        <w:widowControl w:val="on"/>
        <w:spacing w:after="24"/>
        <w:ind w:left="259" w:hanging="187"/>
        <w:rPr/>
      </w:pPr>
      <w:r>
        <w:t>Website Development: Engage Des Plaines, http://www.engagedesplaines.org/</w:t>
      </w:r>
    </w:p>
    <w:p w14:paraId="00000062">
      <w:pPr>
        <w:pStyle w:val="ListBullet"/>
        <w:widowControl w:val="on"/>
        <w:spacing w:after="24"/>
        <w:ind w:left="259" w:hanging="187"/>
        <w:rPr/>
      </w:pPr>
      <w:r>
        <w:t>Website Development: Personal Website, http://www.eugenefregetto.com/</w:t>
      </w:r>
    </w:p>
    <w:p w14:paraId="00000063">
      <w:pPr>
        <w:pStyle w:val="ListBullet"/>
        <w:widowControl w:val="on"/>
        <w:spacing w:after="24"/>
        <w:ind w:left="259" w:hanging="187"/>
        <w:rPr/>
      </w:pPr>
      <w:r>
        <w:t>"Do Entrepreneurial Inclined Students Learn More from Simulations?" 20th Annual Conference of the United States Association for Small Business and Entrepreneurship, Tucson, AZ, January, 2006</w:t>
      </w:r>
    </w:p>
    <w:p w14:paraId="00000064">
      <w:pPr>
        <w:pStyle w:val="ListBullet"/>
        <w:widowControl w:val="on"/>
        <w:spacing w:after="24"/>
        <w:ind w:left="259" w:hanging="187"/>
        <w:rPr/>
      </w:pPr>
      <w:r>
        <w:t>"Business Plan or Business Simulation for Entrepreneurship Education?" Conference Proceedings, 2005 Annual National Conference Proceedings for the United States Association for Small Business and Entrepreneurship, Indian Wells, California, January 2005</w:t>
      </w:r>
    </w:p>
    <w:p w14:paraId="00000065">
      <w:pPr>
        <w:pStyle w:val="ListBullet"/>
        <w:widowControl w:val="on"/>
        <w:spacing w:after="24"/>
        <w:ind w:left="259" w:hanging="187"/>
        <w:rPr/>
      </w:pPr>
      <w:r>
        <w:t>"Moving Beyond Disparity Studies: A Decision Support Model," Conference Proceedings, 2004 Annual National Conference Proceedings for the United States Association for Small Business and Entrepreneurship, Dallas, TX, January 2004. Co-authored with Ben Medina</w:t>
      </w:r>
    </w:p>
    <w:p w14:paraId="00000066">
      <w:pPr>
        <w:pStyle w:val="ListBullet"/>
        <w:widowControl w:val="on"/>
        <w:spacing w:after="24"/>
        <w:ind w:left="259" w:hanging="187"/>
        <w:rPr/>
      </w:pPr>
      <w:r>
        <w:t>"Immigrant and Ethnic Entrepreneurship: A US Perspective," in Entrepreneurship: The Way Ahead, Harold Welsch (ed.), 2003, Routledge</w:t>
      </w:r>
    </w:p>
    <w:p w14:paraId="00000067">
      <w:pPr>
        <w:pStyle w:val="ListBullet"/>
        <w:widowControl w:val="on"/>
        <w:spacing w:after="24"/>
        <w:ind w:left="259" w:hanging="187"/>
        <w:rPr/>
      </w:pPr>
      <w:r>
        <w:t>"Identifying Boundaries: Delineating Overlaps in Teaching Small Business Management and Entrepreneurship Courses," Conference Proceedings, 2002 United States Association for Small Business and Entrepreneurship National Conference, Reno, Nevada, January 2002. Co-authored with Fred Fry</w:t>
      </w:r>
    </w:p>
    <w:p w14:paraId="00000068">
      <w:pPr>
        <w:pStyle w:val="ListBullet"/>
        <w:widowControl w:val="on"/>
        <w:spacing w:after="24"/>
        <w:ind w:left="259" w:hanging="187"/>
        <w:rPr/>
      </w:pPr>
      <w:r>
        <w:t>"Government Purchasing and Disadvantaged Business Enterprises: Are Competitive Disparities Being Reduced?," Journal of Development Entrepreneurship, Spring/Summer, 1999</w:t>
      </w:r>
    </w:p>
    <w:p w14:paraId="00000069">
      <w:pPr>
        <w:pStyle w:val="ListBullet"/>
        <w:widowControl w:val="on"/>
        <w:spacing w:after="24"/>
        <w:ind w:left="259" w:hanging="187"/>
        <w:rPr/>
      </w:pPr>
      <w:r>
        <w:t>"Political Influence and Bureaucratic Discretion in Contracting with Minority-Owned Businesses," Conference Proceedings, 13th Annual National Conference Proceedings for the United States Association for Small Business and Entrepreneurship, San Diego, CA, January 1999</w:t>
      </w:r>
    </w:p>
    <w:p w14:paraId="0000006A">
      <w:pPr>
        <w:pStyle w:val="ListBullet"/>
        <w:widowControl w:val="on"/>
        <w:spacing w:after="24"/>
        <w:ind w:left="259" w:hanging="187"/>
        <w:rPr/>
      </w:pPr>
      <w:r>
        <w:t>"Flood Plain Survey Report," The Des Plaines Civic Association News Release, November 19, 1999</w:t>
      </w:r>
    </w:p>
    <w:p w14:paraId="0000006B">
      <w:pPr>
        <w:pStyle w:val="ListBullet"/>
        <w:widowControl w:val="on"/>
        <w:spacing w:after="24"/>
        <w:ind w:left="259" w:hanging="187"/>
        <w:rPr/>
      </w:pPr>
      <w:r>
        <w:t>"Economic Disparity Between DBE and Non-DBE Contractors in Competition for Government Contracts," Conference Proceedings, 12th Annual National Conference for the United States Association for Small Business and Entrepreneurship, Clearwater Beach, Florida, January 1998</w:t>
      </w:r>
    </w:p>
    <w:p w14:paraId="0000006C">
      <w:pPr>
        <w:pStyle w:val="ListBullet"/>
        <w:widowControl w:val="on"/>
        <w:spacing w:after="24"/>
        <w:ind w:left="259" w:hanging="187"/>
        <w:rPr/>
      </w:pPr>
      <w:r>
        <w:t>"Private/Public Partnership Ventures: A Gap Between Processes and Objectives," Conference Proceedings, 33rd World Conference of the International Council for Small Business, Boston, MA, June 1988</w:t>
      </w:r>
    </w:p>
    <w:p w14:paraId="0000006D">
      <w:pPr>
        <w:pStyle w:val="ListBullet"/>
        <w:widowControl w:val="on"/>
        <w:spacing w:after="24"/>
        <w:ind w:left="259" w:hanging="187"/>
        <w:rPr/>
      </w:pPr>
      <w:r>
        <w:t>"SCORE Consultation: Client Profile and Client's Evaluation," Conference Proceedings, National Conference, Small Business Institute Director's Association, San Antonio, Texas, June 1987</w:t>
      </w:r>
    </w:p>
    <w:p w14:paraId="0000006E">
      <w:pPr>
        <w:pStyle w:val="ListBullet"/>
        <w:widowControl w:val="on"/>
        <w:spacing w:after="24"/>
        <w:ind w:left="259" w:hanging="187"/>
        <w:rPr/>
      </w:pPr>
      <w:r>
        <w:t>"Production Capacity, Competition and Profit Margins as Perceived by Principals of Small and Mature Manufacturing Firms," Conference Proceedings, Region Conference, Small Business Institute Director's Association, Chicago, Illinois, October 1986</w:t>
      </w:r>
    </w:p>
    <w:p w14:paraId="0000006F">
      <w:pPr>
        <w:pStyle w:val="ListBullet"/>
        <w:widowControl w:val="on"/>
        <w:spacing w:after="24"/>
        <w:ind w:left="259" w:hanging="187"/>
        <w:rPr/>
      </w:pPr>
      <w:r>
        <w:t>"Characteristics of Firms that have Reached Maturity," Conference Proceedings, National Conference for the United States Association for Small Business and Entrepreneurship, Orlando, Florida, Oct. 1985</w:t>
      </w:r>
    </w:p>
    <w:p w14:paraId="00000070">
      <w:pPr>
        <w:pStyle w:val="CVSection"/>
        <w:widowControl w:val="on"/>
        <w:pBdr>
          <w:bottom w:val="single" w:color="a6b6c8" w:sz="6" w:space="1"/>
        </w:pBdr>
        <w:spacing w:before="160" w:after="60"/>
        <w:rPr/>
      </w:pPr>
      <w:r>
        <w:t>PRESENTATIONS, KEYNOTES &amp; WORKSHOPS</w:t>
      </w:r>
    </w:p>
    <w:p w14:paraId="00000071">
      <w:pPr>
        <w:pStyle w:val="ListBullet"/>
        <w:widowControl w:val="on"/>
        <w:spacing w:after="24"/>
        <w:ind w:left="259" w:hanging="187"/>
        <w:rPr/>
      </w:pPr>
      <w:r>
        <w:t>"Exploring the Global Potential Through Innovation and Entrepreneurship: Trends in Entrepreneurship Research and Practical Ways to Use AI in the Research Workflow." Presentation delivered at the 4th Annual Research Conference of the Sri Lanka Forum of Entrepreneurship (SLFE) via Zoom, October 7, 2025. https://www.youtube.com/watch?v=E_1Lm9NaUlw</w:t>
      </w:r>
    </w:p>
    <w:p w14:paraId="00000072">
      <w:pPr>
        <w:pStyle w:val="ListBullet"/>
        <w:widowControl w:val="on"/>
        <w:spacing w:after="24"/>
        <w:ind w:left="259" w:hanging="187"/>
        <w:rPr/>
      </w:pPr>
      <w:r>
        <w:t>"Thinking About Entrepreneurship." Presentation delivered at the 1st Annual Research Conference of the Sri Lanka Forum of Entrepreneurship (SLFE) via Zoom, March 25, 2022. https://www.youtube.com/watch?v=J56C5ad6mx0 and https://www.youtube.com/watch?v=yo4XblUQTHE</w:t>
      </w:r>
    </w:p>
    <w:p w14:paraId="00000073">
      <w:pPr>
        <w:pStyle w:val="ListBullet"/>
        <w:widowControl w:val="on"/>
        <w:spacing w:after="24"/>
        <w:ind w:left="259" w:hanging="187"/>
        <w:rPr/>
      </w:pPr>
      <w:r>
        <w:t>"Researching the Origins of Innovation and Entrepreneurship," keynote presentation for the Entrepreneurship, Small Business Management and Innovation track of the 18th International Conference on Business Management, sponsored by the Faculty of Management Studies &amp; Commerce at University of Sri Jayewardenepura, December 9, 2021 via Zoom. https://www.youtube.com/watch?v=SjWCWsM3lPQ</w:t>
      </w:r>
    </w:p>
    <w:p w14:paraId="00000074">
      <w:pPr>
        <w:pStyle w:val="ListBullet"/>
        <w:widowControl w:val="on"/>
        <w:spacing w:after="24"/>
        <w:ind w:left="259" w:hanging="187"/>
        <w:rPr/>
      </w:pPr>
      <w:r>
        <w:t>"Entrepreneurship in America," keynote presentation for the Inauguration Ceremony of the Masters of Entrepreneurship Program 2020/2022, Department of Entrepreneurship, University of Sri Jayewardenepura, January 9, 2021. https://www.youtube.com/watch?v=P3_G4ImXRSM</w:t>
      </w:r>
    </w:p>
    <w:p w14:paraId="00000075">
      <w:pPr>
        <w:pStyle w:val="ListBullet"/>
        <w:widowControl w:val="on"/>
        <w:spacing w:after="24"/>
        <w:ind w:left="259" w:hanging="187"/>
        <w:rPr/>
      </w:pPr>
      <w:r>
        <w:t>"PhDs Create the Future," presentation to a dozen PhD students at the University of Colombo, Sri Lanka, December 19, 2020 via Zoom. https://www.youtube.com/watch?v=IceUyueurBU&amp;ab_channel=EugeneFregetto</w:t>
      </w:r>
    </w:p>
    <w:p w14:paraId="00000076">
      <w:pPr>
        <w:pStyle w:val="ListBullet"/>
        <w:widowControl w:val="on"/>
        <w:spacing w:after="24"/>
        <w:ind w:left="259" w:hanging="187"/>
        <w:rPr/>
      </w:pPr>
      <w:r>
        <w:t>"Entrepreneurial Aspiration," presentation for students at the University of Sri Jayewardenepura; invited by Professor Rukmal Weerasinghe and students in his course: Managing for Creativity and innovation, June 25, 2020, presentation via Zoom, https://www.youtube.com/watch?v=Dg9RHMgioFY&amp;ab_channel=EugeneFregetto</w:t>
      </w:r>
    </w:p>
    <w:p w14:paraId="00000077">
      <w:pPr>
        <w:pStyle w:val="ListBullet"/>
        <w:widowControl w:val="on"/>
        <w:spacing w:after="24"/>
        <w:ind w:left="259" w:hanging="187"/>
        <w:rPr/>
      </w:pPr>
      <w:r>
        <w:t>Two-day workshop for entrepreneurship faculty at the University of Sri Jayewardenepura, Colombo, Sri Lanka, December 17-18, 2018.</w:t>
      </w:r>
    </w:p>
    <w:p w14:paraId="00000078">
      <w:pPr>
        <w:pStyle w:val="ListBullet"/>
        <w:widowControl w:val="on"/>
        <w:spacing w:after="24"/>
        <w:ind w:left="259" w:hanging="187"/>
        <w:rPr/>
      </w:pPr>
      <w:r>
        <w:t>One-day workshop for graduate students at the University of Sri Jayewardenepura, Colombo, Sri Lanka, December 16, 2018.</w:t>
      </w:r>
    </w:p>
    <w:p w14:paraId="00000079">
      <w:pPr>
        <w:pStyle w:val="ListBullet"/>
        <w:widowControl w:val="on"/>
        <w:spacing w:after="24"/>
        <w:ind w:left="259" w:hanging="187"/>
        <w:rPr/>
      </w:pPr>
      <w:r>
        <w:t>Review of breakout session for Women's Entrepreneurship Programs, 7th UNESCO-APEID Meeting on Entrepreneurship Education, October 2018, Trinco Blu, Trincomalee, Sri Lanka.</w:t>
      </w:r>
    </w:p>
    <w:p w14:paraId="0000007A">
      <w:pPr>
        <w:pStyle w:val="ListBullet"/>
        <w:widowControl w:val="on"/>
        <w:spacing w:after="24"/>
        <w:ind w:left="259" w:hanging="187"/>
        <w:rPr/>
      </w:pPr>
      <w:r>
        <w:t>Case Studies on Successful Women's Entrepreneurship Education Programs in Bangladesh, Philippines, Indonesia and India 15.00 - 15.45 Breakout Session 2: Post-Conflict Recovery, Providing Entrepreneurship</w:t>
      </w:r>
    </w:p>
    <w:p w14:paraId="0000007B">
      <w:pPr>
        <w:pStyle w:val="ListBullet"/>
        <w:widowControl w:val="on"/>
        <w:spacing w:after="24"/>
        <w:ind w:left="259" w:hanging="187"/>
        <w:rPr/>
      </w:pPr>
      <w:r>
        <w:t>"Mobile technologies to Teach an Online Course to Older Women in Northern Thailand," 2017 1st International Conference on Education and E-Learning (ICEEL 2017).</w:t>
      </w:r>
    </w:p>
    <w:p w14:paraId="0000007C">
      <w:pPr>
        <w:pStyle w:val="ListBullet"/>
        <w:widowControl w:val="on"/>
        <w:spacing w:after="24"/>
        <w:ind w:left="259" w:hanging="187"/>
        <w:rPr/>
      </w:pPr>
      <w:r>
        <w:t>"Startup Advising Workshop on Marketing Strategies," DePaul University, May 2015</w:t>
      </w:r>
    </w:p>
    <w:p w14:paraId="0000007D">
      <w:pPr>
        <w:pStyle w:val="ListBullet"/>
        <w:widowControl w:val="on"/>
        <w:spacing w:after="24"/>
        <w:ind w:left="259" w:hanging="187"/>
        <w:rPr/>
      </w:pPr>
      <w:r>
        <w:t>"Moving Beyond Disparity Studies," Connecticut Academy of Science and Engineering, Connecticut Disparity Study, October 17, 2012</w:t>
      </w:r>
    </w:p>
    <w:p w14:paraId="0000007E">
      <w:pPr>
        <w:pStyle w:val="ListBullet"/>
        <w:widowControl w:val="on"/>
        <w:spacing w:after="24"/>
        <w:ind w:left="259" w:hanging="187"/>
        <w:rPr/>
      </w:pPr>
      <w:r>
        <w:t>"Identifying Strategic Touch Points for B2B Engagement." IQPC Customer Insight Week - Chicago, September 27, 2011</w:t>
      </w:r>
    </w:p>
    <w:p w14:paraId="0000007F">
      <w:pPr>
        <w:pStyle w:val="ListBullet"/>
        <w:widowControl w:val="on"/>
        <w:spacing w:after="24"/>
        <w:ind w:left="259" w:hanging="187"/>
        <w:rPr/>
      </w:pPr>
      <w:r>
        <w:t>"How Can Centers Build their Academic Legitimacy?" 2007 Conference, National Consortium of Entrepreneurship Centers, Syracuse, NY, October, 2007</w:t>
      </w:r>
    </w:p>
    <w:p w14:paraId="00000080">
      <w:pPr>
        <w:pStyle w:val="ListBullet"/>
        <w:widowControl w:val="on"/>
        <w:spacing w:after="24"/>
        <w:ind w:left="259" w:hanging="187"/>
        <w:rPr/>
      </w:pPr>
      <w:r>
        <w:t>"The Business of Supply and Demand for Digital Literacy: Communicating a Community Enterprise's Metamessage and Leadership Products," 42nd Annual International Conference, Chicago, IL, March, 2006</w:t>
      </w:r>
    </w:p>
    <w:p w14:paraId="00000081">
      <w:pPr>
        <w:pStyle w:val="ListBullet"/>
        <w:widowControl w:val="on"/>
        <w:spacing w:after="24"/>
        <w:ind w:left="259" w:hanging="187"/>
        <w:rPr/>
      </w:pPr>
      <w:r>
        <w:t>"Effective Purchasing Management System for the Small Business," ICSB 34th International Conference, Quebec, Canada, June, 1989</w:t>
      </w:r>
    </w:p>
    <w:p w14:paraId="00000082">
      <w:pPr>
        <w:pStyle w:val="ListBullet"/>
        <w:widowControl w:val="on"/>
        <w:spacing w:after="24"/>
        <w:ind w:left="259" w:hanging="187"/>
        <w:rPr/>
      </w:pPr>
      <w:r>
        <w:t>"Private/Public Partnership Ventures: A Gap between Processes and Objectives," 33rd Annual World Conference of International Council for Small Business, Boston, MA, June, 1988</w:t>
      </w:r>
    </w:p>
    <w:p w14:paraId="00000083">
      <w:pPr>
        <w:pStyle w:val="ListBullet"/>
        <w:widowControl w:val="on"/>
        <w:spacing w:after="24"/>
        <w:ind w:left="259" w:hanging="187"/>
        <w:rPr/>
      </w:pPr>
      <w:r>
        <w:t>"Realities of Starting and Maintaining a Small Business," 1987, presented as part of "Invest-in-America Summer Institute for High School Teachers, DePaul University, Center for Economic Education</w:t>
      </w:r>
    </w:p>
    <w:p w14:paraId="00000084">
      <w:pPr>
        <w:pStyle w:val="ListBullet"/>
        <w:widowControl w:val="on"/>
        <w:spacing w:after="24"/>
        <w:ind w:left="259" w:hanging="187"/>
        <w:rPr/>
      </w:pPr>
      <w:r>
        <w:t>"Developing a Comprehensive City Plan," 1987, presented to a joint meeting of Des Plaines City Aldermen and Des Plaines Chamber of Commerce</w:t>
      </w:r>
    </w:p>
    <w:p w14:paraId="00000085">
      <w:pPr>
        <w:pStyle w:val="ListBullet"/>
        <w:widowControl w:val="on"/>
        <w:spacing w:after="24"/>
        <w:ind w:left="259" w:hanging="187"/>
        <w:rPr/>
      </w:pPr>
      <w:r>
        <w:t>"Production Capacity, Competition and Profit Margin as Perceived by Principals for Small and Mature Manufacturing Firms," SBIDA Region V Conference, Chicago, IL, October 1986</w:t>
      </w:r>
    </w:p>
    <w:p w14:paraId="00000086">
      <w:pPr>
        <w:pStyle w:val="ListBullet"/>
        <w:widowControl w:val="on"/>
        <w:spacing w:after="24"/>
        <w:ind w:left="259" w:hanging="187"/>
        <w:rPr/>
      </w:pPr>
      <w:r>
        <w:t>"Opportunities in Retailing," CBS: Objective Jobs, half-hour television talk show aired on Channel 2, April 1985. Member of a three-person panel interviewed by show host</w:t>
      </w:r>
    </w:p>
    <w:p w14:paraId="00000087">
      <w:pPr>
        <w:pStyle w:val="ListBullet"/>
        <w:widowControl w:val="on"/>
        <w:spacing w:after="24"/>
        <w:ind w:left="259" w:hanging="187"/>
        <w:rPr/>
      </w:pPr>
      <w:r>
        <w:t>"Selling to Local Government Organizations," 1984-86, presented at seminars sponsored by DePaul University</w:t>
      </w:r>
    </w:p>
    <w:p w14:paraId="00000088">
      <w:pPr>
        <w:pStyle w:val="ListBullet"/>
        <w:widowControl w:val="on"/>
        <w:spacing w:after="24"/>
        <w:ind w:left="259" w:hanging="187"/>
        <w:rPr/>
      </w:pPr>
      <w:r>
        <w:t>"Purchasing Decisions: How to be a More Effective Buyer for Your Goods and Services," 1984-86, presented at seminars sponsored by DePaul University</w:t>
      </w:r>
    </w:p>
    <w:p w14:paraId="00000089">
      <w:pPr>
        <w:pStyle w:val="ListBullet"/>
        <w:widowControl w:val="on"/>
        <w:spacing w:after="24"/>
        <w:ind w:left="259" w:hanging="187"/>
        <w:rPr/>
      </w:pPr>
      <w:r>
        <w:t>"Location: Locating the Premier Sites to Your Advantage," 1984-86, presented at seminars sponsored by DePaul University</w:t>
      </w:r>
    </w:p>
    <w:p w14:paraId="0000008A">
      <w:pPr>
        <w:pStyle w:val="ListBullet"/>
        <w:widowControl w:val="on"/>
        <w:spacing w:after="24"/>
        <w:ind w:left="259" w:hanging="187"/>
        <w:rPr/>
      </w:pPr>
      <w:r>
        <w:t>"DePaul University's Graduate School Entrepreneurship Program," presented to DePaul University's Alumni Association Board, October 1985</w:t>
      </w:r>
    </w:p>
    <w:p w14:paraId="0000008B">
      <w:pPr>
        <w:pStyle w:val="ListBullet"/>
        <w:widowControl w:val="on"/>
        <w:spacing w:after="24"/>
        <w:ind w:left="259" w:hanging="187"/>
        <w:rPr/>
      </w:pPr>
      <w:r>
        <w:t>"Product Test on Stroboflash IV," Equipment and Supplies Report, Wedding Photographers International, 1978</w:t>
      </w:r>
    </w:p>
    <w:p w14:paraId="0000008C">
      <w:pPr>
        <w:pStyle w:val="ListBullet"/>
        <w:widowControl w:val="on"/>
        <w:spacing w:after="24"/>
        <w:ind w:left="259" w:hanging="187"/>
        <w:rPr/>
      </w:pPr>
      <w:r>
        <w:t>"What Will Happen to Your Files?," a value analysis of files and records upon the death of a business owner, published in four parts, May to August issues, The Rangefinder, 1976</w:t>
      </w:r>
    </w:p>
    <w:p w14:paraId="0000008D">
      <w:pPr>
        <w:pStyle w:val="ListBullet"/>
        <w:widowControl w:val="on"/>
        <w:spacing w:after="24"/>
        <w:ind w:left="259" w:hanging="187"/>
        <w:rPr/>
      </w:pPr>
      <w:r>
        <w:t>"Gates of Opportunity Are Still Obstructed for America's Poor," The Marquette Tribune, October 10, 1969</w:t>
      </w:r>
    </w:p>
    <w:p w14:paraId="0000008E">
      <w:pPr>
        <w:pStyle w:val="ListBullet"/>
        <w:widowControl w:val="on"/>
        <w:spacing w:after="24"/>
        <w:ind w:left="259" w:hanging="187"/>
        <w:rPr/>
      </w:pPr>
      <w:r>
        <w:t>1969 Hilltop, Marquette University Yearbook, Design Editor</w:t>
      </w:r>
    </w:p>
    <w:p w14:paraId="0000008F">
      <w:pPr>
        <w:pStyle w:val="ListBullet"/>
        <w:widowControl w:val="on"/>
        <w:spacing w:after="24"/>
        <w:ind w:left="259" w:hanging="187"/>
        <w:rPr/>
      </w:pPr>
      <w:r>
        <w:t>Audio-visual presentations written, produced, and presented: Chemetron Corporation, Welding Products Division - 1972 Chicago Transit Board, Inspecting Manufacturing Process - 1977 ICSB International, Chicago Highlights - 1983</w:t>
      </w:r>
    </w:p>
    <w:p w14:paraId="00000090">
      <w:pPr>
        <w:pStyle w:val="CVSection"/>
        <w:widowControl w:val="on"/>
        <w:pBdr>
          <w:bottom w:val="single" w:color="a6b6c8" w:sz="6" w:space="1"/>
        </w:pBdr>
        <w:spacing w:before="160" w:after="60"/>
        <w:rPr/>
      </w:pPr>
      <w:r>
        <w:t>DISCUSSANT, REVIEWING &amp; WORKSHOP ACTIVITIES</w:t>
      </w:r>
    </w:p>
    <w:p w14:paraId="00000091">
      <w:pPr>
        <w:pStyle w:val="ListBullet"/>
        <w:widowControl w:val="on"/>
        <w:spacing w:after="24"/>
        <w:ind w:left="259" w:hanging="187"/>
        <w:rPr/>
      </w:pPr>
      <w:r>
        <w:t>Discussant: "Financial Structuring for New Ventures and Small Businesses," International Council for Small Business 35th Annual World Conference, 1990</w:t>
      </w:r>
    </w:p>
    <w:p w14:paraId="00000092">
      <w:pPr>
        <w:pStyle w:val="ListBullet"/>
        <w:widowControl w:val="on"/>
        <w:spacing w:after="24"/>
        <w:ind w:left="259" w:hanging="187"/>
        <w:rPr/>
      </w:pPr>
      <w:r>
        <w:t>Discussant: "Framework for Understanding Processes and Determinants of Public/Private Partnership Ventures," 1988 National Conference of United States Association for Small Business and Entrepreneurship, Monterey, CA, October, 1988</w:t>
      </w:r>
    </w:p>
    <w:p w14:paraId="00000093">
      <w:pPr>
        <w:pStyle w:val="ListBullet"/>
        <w:widowControl w:val="on"/>
        <w:spacing w:after="24"/>
        <w:ind w:left="259" w:hanging="187"/>
        <w:rPr/>
      </w:pPr>
      <w:r>
        <w:t>Discussant: "Integrated Business Training for DBE/WBE firms: Providing Procurement Assistance to the Minority Firm," Midwest Purchasing Management Conference, Des Plaines, IL, May 1988</w:t>
      </w:r>
    </w:p>
    <w:p w14:paraId="00000094">
      <w:pPr>
        <w:pStyle w:val="ListBullet"/>
        <w:widowControl w:val="on"/>
        <w:spacing w:after="24"/>
        <w:ind w:left="259" w:hanging="187"/>
        <w:rPr/>
      </w:pPr>
      <w:r>
        <w:t>Discussant: "Marketing Issues," Second National Conference, United States Association for Small Business and Entrepreneurship, Milwaukee, Wisconsin, October 1987</w:t>
      </w:r>
    </w:p>
    <w:p w14:paraId="00000095">
      <w:pPr>
        <w:pStyle w:val="ListBullet"/>
        <w:widowControl w:val="on"/>
        <w:spacing w:after="24"/>
        <w:ind w:left="259" w:hanging="187"/>
        <w:rPr/>
      </w:pPr>
      <w:r>
        <w:t>Discussant: "Strategy Formulation and Implementation," 31st Annual World Conference, International Council for Small Business, Denver, Colorado, June 1986</w:t>
      </w:r>
    </w:p>
    <w:p w14:paraId="00000096">
      <w:pPr>
        <w:pStyle w:val="ListBullet"/>
        <w:widowControl w:val="on"/>
        <w:spacing w:after="24"/>
        <w:ind w:left="259" w:hanging="187"/>
        <w:rPr/>
      </w:pPr>
      <w:r>
        <w:t>Discussant: "New Approaches to Small Business Assistance II," 29th Annual World Conference, ICSB, Chicago, Illinois, 1984</w:t>
      </w:r>
    </w:p>
    <w:p w14:paraId="00000097">
      <w:pPr>
        <w:pStyle w:val="ListBullet"/>
        <w:widowControl w:val="on"/>
        <w:spacing w:after="24"/>
        <w:ind w:left="259" w:hanging="187"/>
        <w:rPr/>
      </w:pPr>
      <w:r>
        <w:t>"Entrepreneurship in Low- and Moderate- Income Communities," sponsored by the Ewing Marion Kauffman Foundation and the Federal Reserve Bank of Kansas City, Kansas City, MO, November, 2005</w:t>
      </w:r>
    </w:p>
    <w:p w14:paraId="00000098">
      <w:pPr>
        <w:pStyle w:val="ListBullet"/>
        <w:widowControl w:val="on"/>
        <w:spacing w:after="24"/>
        <w:ind w:left="259" w:hanging="187"/>
        <w:rPr/>
      </w:pPr>
      <w:r>
        <w:t>Organized "Small Business America at Work" seminar series sponsored by DePaul University</w:t>
      </w:r>
    </w:p>
    <w:p w14:paraId="00000099">
      <w:pPr>
        <w:pStyle w:val="ListBullet"/>
        <w:widowControl w:val="on"/>
        <w:spacing w:after="24"/>
        <w:ind w:left="259" w:hanging="187"/>
        <w:rPr/>
      </w:pPr>
      <w:r>
        <w:t>Developed and chaired panel on "White House Conference Issues - Employee Benefits and Government Procurement," 1987, USASBE National Conference, Milwaukee, Wisconsin</w:t>
      </w:r>
    </w:p>
    <w:p w14:paraId="0000009A">
      <w:pPr>
        <w:pStyle w:val="ListBullet"/>
        <w:widowControl w:val="on"/>
        <w:spacing w:after="24"/>
        <w:ind w:left="259" w:hanging="187"/>
        <w:rPr/>
      </w:pPr>
      <w:r>
        <w:t>"Marketing and the Business Life Cycle/Firm Size," 1987, ICSB 32nd World Conference, Vancouver, Canada</w:t>
      </w:r>
    </w:p>
    <w:p w14:paraId="0000009B">
      <w:pPr>
        <w:pStyle w:val="ListBullet"/>
        <w:widowControl w:val="on"/>
        <w:spacing w:after="24"/>
        <w:ind w:left="259" w:hanging="187"/>
        <w:rPr/>
      </w:pPr>
      <w:r>
        <w:t>"Professional Development District Workshop," National Association for Purchasing Management, 1986 and 1987, Rockford, Illinois</w:t>
      </w:r>
    </w:p>
    <w:p w14:paraId="0000009C">
      <w:pPr>
        <w:pStyle w:val="ListBullet"/>
        <w:widowControl w:val="on"/>
        <w:spacing w:after="24"/>
        <w:ind w:left="259" w:hanging="187"/>
        <w:rPr/>
      </w:pPr>
      <w:r>
        <w:t>"White House Conference on Small Business: Relevant Issues, USASBE National Conference, Milwaukee, Wisconsin, October 1987</w:t>
      </w:r>
    </w:p>
    <w:p w14:paraId="0000009D">
      <w:pPr>
        <w:pStyle w:val="ListBullet"/>
        <w:widowControl w:val="on"/>
        <w:spacing w:after="24"/>
        <w:ind w:left="259" w:hanging="187"/>
        <w:rPr/>
      </w:pPr>
      <w:r>
        <w:t>Reviewer for the Third Annual Business Plan competition, The Franklin P. Perdue School of Business, Salisbury State College, 1988</w:t>
      </w:r>
    </w:p>
    <w:p w14:paraId="0000009E">
      <w:pPr>
        <w:pStyle w:val="CVSection"/>
        <w:widowControl w:val="on"/>
        <w:pBdr>
          <w:bottom w:val="single" w:color="a6b6c8" w:sz="6" w:space="1"/>
        </w:pBdr>
        <w:spacing w:before="160" w:after="60"/>
        <w:rPr/>
      </w:pPr>
      <w:r>
        <w:t>BOOK REVIEW ACTIVITIES</w:t>
      </w:r>
    </w:p>
    <w:p w14:paraId="0000009F">
      <w:pPr>
        <w:pStyle w:val="ListBullet"/>
        <w:widowControl w:val="on"/>
        <w:spacing w:after="24"/>
        <w:ind w:left="259" w:hanging="187"/>
        <w:rPr/>
      </w:pPr>
      <w:r>
        <w:t>"Enhancing the Managerial DNA of Your Small Business," Pat Roberson- Saunders, Barron Harvey, Philip Fanara, Gwynette P. Lacy, and Pravat Choudhury, 2014, ISBN 978-1606495506</w:t>
      </w:r>
    </w:p>
    <w:p w14:paraId="000000A0">
      <w:pPr>
        <w:pStyle w:val="ListBullet"/>
        <w:widowControl w:val="on"/>
        <w:spacing w:after="24"/>
        <w:ind w:left="259" w:hanging="187"/>
        <w:rPr/>
      </w:pPr>
      <w:r>
        <w:t>Entrepreneurship book (as yet to be titled), written by Marc Dollinger, to be published by Marsh Publications in 2007</w:t>
      </w:r>
    </w:p>
    <w:p w14:paraId="000000A1">
      <w:pPr>
        <w:pStyle w:val="ListBullet"/>
        <w:widowControl w:val="on"/>
        <w:spacing w:after="24"/>
        <w:ind w:left="259" w:hanging="187"/>
        <w:rPr/>
      </w:pPr>
      <w:r>
        <w:t>"The Ten Faces of Innovation," Tom Kelley with Jonathan Littman, Journal of Small Business Strategy, Winter, 2005-2006</w:t>
      </w:r>
    </w:p>
    <w:p w14:paraId="000000A2">
      <w:pPr>
        <w:pStyle w:val="ListBullet"/>
        <w:widowControl w:val="on"/>
        <w:spacing w:after="24"/>
        <w:ind w:left="259" w:hanging="187"/>
        <w:rPr/>
      </w:pPr>
      <w:r>
        <w:t>"Entrepreneurship Successfully Launching New Ventures," Bruce Barringer and R. Duane Ireland, Prentice Hall, 2005</w:t>
      </w:r>
    </w:p>
    <w:p w14:paraId="000000A3">
      <w:pPr>
        <w:pStyle w:val="ListBullet"/>
        <w:widowControl w:val="on"/>
        <w:spacing w:after="24"/>
        <w:ind w:left="259" w:hanging="187"/>
        <w:rPr/>
      </w:pPr>
      <w:r>
        <w:t>"Online Business Research," Prentice Hall, June 2003</w:t>
      </w:r>
    </w:p>
    <w:p w14:paraId="000000A4">
      <w:pPr>
        <w:pStyle w:val="ListBullet"/>
        <w:widowControl w:val="on"/>
        <w:spacing w:after="24"/>
        <w:ind w:left="259" w:hanging="187"/>
        <w:rPr/>
      </w:pPr>
      <w:r>
        <w:t>"Entrepreneurship: Strategies and Resources," (3rd ed.) Prentice Hall, 2002</w:t>
      </w:r>
    </w:p>
    <w:p w14:paraId="000000A5">
      <w:pPr>
        <w:pStyle w:val="ListBullet"/>
        <w:widowControl w:val="on"/>
        <w:spacing w:after="24"/>
        <w:ind w:left="259" w:hanging="187"/>
        <w:rPr/>
      </w:pPr>
      <w:r>
        <w:t>"Managing Productivity by Objectives," Dartnell, 1989.</w:t>
      </w:r>
    </w:p>
    <w:p w14:paraId="000000A6">
      <w:pPr>
        <w:pStyle w:val="CVSection"/>
        <w:widowControl w:val="on"/>
        <w:pBdr>
          <w:bottom w:val="single" w:color="a6b6c8" w:sz="6" w:space="1"/>
        </w:pBdr>
        <w:spacing w:before="160" w:after="60"/>
        <w:rPr/>
      </w:pPr>
      <w:r>
        <w:t>GRANTS &amp; CONSULTING</w:t>
      </w:r>
    </w:p>
    <w:p w14:paraId="000000A7">
      <w:pPr>
        <w:pStyle w:val="ListBullet"/>
        <w:widowControl w:val="on"/>
        <w:spacing w:after="24"/>
        <w:ind w:left="259" w:hanging="187"/>
        <w:rPr/>
      </w:pPr>
      <w:r>
        <w:t>UIC's Institute for Policy and Civic Engagement, 2011, Research Project: The emerging digital library and how patron demand will drive a change in the library's collection. 2011 as well as the skill set and expertise of the library staff, $20,000</w:t>
      </w:r>
    </w:p>
    <w:p w14:paraId="000000A8">
      <w:pPr>
        <w:pStyle w:val="ListBullet"/>
        <w:widowControl w:val="on"/>
        <w:spacing w:after="24"/>
        <w:ind w:left="259" w:hanging="187"/>
        <w:rPr/>
      </w:pPr>
      <w:r>
        <w:t>Chicago Transit Authority Disadvantaged Business Enterprises' Business Development Program, February, 2006, for assessment of Minority Consulting Services, $10,000</w:t>
      </w:r>
    </w:p>
    <w:p w14:paraId="000000A9">
      <w:pPr>
        <w:pStyle w:val="ListBullet"/>
        <w:widowControl w:val="on"/>
        <w:spacing w:after="24"/>
        <w:ind w:left="259" w:hanging="187"/>
        <w:rPr/>
      </w:pPr>
      <w:r>
        <w:t>Audio Visual Institute of DuPage County, October, 2004, AVID Strategic Planning, $2,400</w:t>
      </w:r>
    </w:p>
    <w:p w14:paraId="000000AA">
      <w:pPr>
        <w:pStyle w:val="ListBullet"/>
        <w:widowControl w:val="on"/>
        <w:spacing w:after="24"/>
        <w:ind w:left="259" w:hanging="187"/>
        <w:rPr/>
      </w:pPr>
      <w:r>
        <w:t>United States Association for Small Business and Entrepreneurship, February, 2005, for bibliography development appearing on the USASBE web site, $2,250</w:t>
      </w:r>
    </w:p>
    <w:p w14:paraId="000000AB">
      <w:pPr>
        <w:pStyle w:val="ListBullet"/>
        <w:widowControl w:val="on"/>
        <w:spacing w:after="24"/>
        <w:ind w:left="259" w:hanging="187"/>
        <w:rPr/>
      </w:pPr>
      <w:r>
        <w:t>The Illinois Community Technology Fund, July 2004, awarded for "Bridging the Digital Divide for Low Income and Rural Residents in Illinois," $325,000</w:t>
      </w:r>
    </w:p>
    <w:p w14:paraId="000000AC">
      <w:pPr>
        <w:pStyle w:val="ListBullet"/>
        <w:widowControl w:val="on"/>
        <w:spacing w:after="24"/>
        <w:ind w:left="259" w:hanging="187"/>
        <w:rPr/>
      </w:pPr>
      <w:r>
        <w:t>The Illinois Community Technology Fund, Community Computing Center Program, August 2002, Principal Investigator, $1,300,000 for "Connecting-My- Community Program"</w:t>
      </w:r>
    </w:p>
    <w:p w14:paraId="000000AD">
      <w:pPr>
        <w:pStyle w:val="ListBullet"/>
        <w:widowControl w:val="on"/>
        <w:spacing w:after="24"/>
        <w:ind w:left="259" w:hanging="187"/>
        <w:rPr/>
      </w:pPr>
      <w:r>
        <w:t>U.S. Department of Commerce, Full Circle Community Mapping and Planning Project, for "Technology Opportunity Program", September 2003. Awarded to Northern Illinois Planning Commission (NIPC); full grant approximately $800,000. Subcontract work $7,500</w:t>
      </w:r>
    </w:p>
    <w:p w14:paraId="000000AE">
      <w:pPr>
        <w:pStyle w:val="ListBullet"/>
        <w:widowControl w:val="on"/>
        <w:spacing w:after="24"/>
        <w:ind w:left="259" w:hanging="187"/>
        <w:rPr/>
      </w:pPr>
      <w:r>
        <w:t>Coca-Cola, June 2003. Provided professional services to assist Coca-Cola in its preparation of a proposal in response to CTA's RFP for soft drink vending service for all rapid transit stations, bus turnaround and other CTA locations</w:t>
      </w:r>
    </w:p>
    <w:p w14:paraId="000000AF">
      <w:pPr>
        <w:pStyle w:val="ListBullet"/>
        <w:widowControl w:val="on"/>
        <w:spacing w:after="24"/>
        <w:ind w:left="259" w:hanging="187"/>
        <w:rPr/>
      </w:pPr>
      <w:r>
        <w:t>Workforce Development, Inc, April 2003. Provided services for assistance in analysis of legal structures and publicly-regulated administrative procedures in contracting with public and public/private entities</w:t>
      </w:r>
    </w:p>
    <w:p w14:paraId="000000B0">
      <w:pPr>
        <w:pStyle w:val="ListBullet"/>
        <w:widowControl w:val="on"/>
        <w:spacing w:after="24"/>
        <w:ind w:left="259" w:hanging="187"/>
        <w:rPr/>
      </w:pPr>
      <w:r>
        <w:t>Chicago Transit Authority, 1999-2000. Provided consulting assistance to help CTA develop and implement race and gender neutral programs in CTA's relevant market area so as to enhance the economic development within the State</w:t>
      </w:r>
    </w:p>
    <w:p w14:paraId="000000B1">
      <w:pPr>
        <w:pStyle w:val="ListBullet"/>
        <w:widowControl w:val="on"/>
        <w:spacing w:after="24"/>
        <w:ind w:left="259" w:hanging="187"/>
        <w:rPr/>
      </w:pPr>
      <w:r>
        <w:t>Department of Transportation, Small Business Innovation Program, April 1985, Principal Organization: Coin Systems, Inc., $50,000 for "Revenue Collection, Audit and Data Distribution System"</w:t>
      </w:r>
    </w:p>
    <w:p w14:paraId="000000B2">
      <w:pPr>
        <w:pStyle w:val="ListBullet"/>
        <w:widowControl w:val="on"/>
        <w:spacing w:after="24"/>
        <w:ind w:left="259" w:hanging="187"/>
        <w:rPr/>
      </w:pPr>
      <w:r>
        <w:t>U.S. Small Business Administration, January 1986, Principal Organization: University of Illinois at Chicago, $5,000 for "Evaluation of SCORE's Consulting Performance with Small Entrepreneurial Businesses"</w:t>
      </w:r>
    </w:p>
    <w:p w14:paraId="000000B3">
      <w:pPr>
        <w:pStyle w:val="CVSection"/>
        <w:widowControl w:val="on"/>
        <w:pBdr>
          <w:bottom w:val="single" w:color="a6b6c8" w:sz="6" w:space="1"/>
        </w:pBdr>
        <w:spacing w:before="160" w:after="60"/>
        <w:rPr/>
      </w:pPr>
      <w:r>
        <w:t>PUBLIC SERVICE PROPOSALS</w:t>
      </w:r>
    </w:p>
    <w:p w14:paraId="000000B4">
      <w:pPr>
        <w:pStyle w:val="ListBullet"/>
        <w:widowControl w:val="on"/>
        <w:spacing w:after="24"/>
        <w:ind w:left="259" w:hanging="187"/>
        <w:rPr/>
      </w:pPr>
      <w:r>
        <w:t>Illinois Bill of Health Initiative: proposed consulting services; approximately $300,000</w:t>
      </w:r>
    </w:p>
    <w:p w14:paraId="000000B5">
      <w:pPr>
        <w:pStyle w:val="ListBullet"/>
        <w:widowControl w:val="on"/>
        <w:spacing w:after="24"/>
        <w:ind w:left="259" w:hanging="187"/>
        <w:rPr/>
      </w:pPr>
      <w:r>
        <w:t>Metra, Chicago: proposed diversity and conflict management training services; approximately $150,000</w:t>
      </w:r>
    </w:p>
    <w:p w14:paraId="000000B6">
      <w:pPr>
        <w:pStyle w:val="ListBullet"/>
        <w:widowControl w:val="on"/>
        <w:spacing w:after="24"/>
        <w:ind w:left="259" w:hanging="187"/>
        <w:rPr/>
      </w:pPr>
      <w:r>
        <w:t>Community-based technology centers in Chicago and across Illinois: proposed training and support services; $49,500</w:t>
      </w:r>
    </w:p>
    <w:p w14:paraId="000000B7">
      <w:pPr>
        <w:pStyle w:val="ListBullet"/>
        <w:widowControl w:val="on"/>
        <w:spacing w:after="24"/>
        <w:ind w:left="259" w:hanging="187"/>
        <w:rPr/>
      </w:pPr>
      <w:r>
        <w:t>Transportation Research Board, NAS-NRC: proposed benchmarks for racial and gender diversity in state departments of transportation and transit agencies, December 2004; $49,700</w:t>
      </w:r>
    </w:p>
    <w:p w14:paraId="000000B8">
      <w:pPr>
        <w:pStyle w:val="ListBullet"/>
        <w:widowControl w:val="on"/>
        <w:spacing w:after="24"/>
        <w:ind w:left="259" w:hanging="187"/>
        <w:rPr/>
      </w:pPr>
      <w:r>
        <w:t>Joyce Foundation: proposed policy-analysis consortium examining digital-divide initiatives and policies in Illinois, Ohio, Michigan, and Minnesota, October 2004; $275,000</w:t>
      </w:r>
    </w:p>
    <w:p w14:paraId="000000B9">
      <w:pPr>
        <w:pStyle w:val="ListBullet"/>
        <w:widowControl w:val="on"/>
        <w:spacing w:after="24"/>
        <w:ind w:left="259" w:hanging="187"/>
        <w:rPr/>
      </w:pPr>
      <w:r>
        <w:t>City of Countryside: proposed city marketing plan, May 2004; $52,750</w:t>
      </w:r>
    </w:p>
    <w:p w14:paraId="000000BA">
      <w:pPr>
        <w:pStyle w:val="ListBullet"/>
        <w:widowControl w:val="on"/>
        <w:spacing w:after="24"/>
        <w:ind w:left="259" w:hanging="187"/>
        <w:rPr/>
      </w:pPr>
      <w:r>
        <w:t>Department of Commerce: proposed initiative linking adult and at-risk youth participants from five model job programs through adaptation of a business-sector social-network tool</w:t>
      </w:r>
    </w:p>
    <w:p w14:paraId="000000BB">
      <w:pPr>
        <w:pStyle w:val="ListBullet"/>
        <w:widowControl w:val="on"/>
        <w:spacing w:after="24"/>
        <w:ind w:left="259" w:hanging="187"/>
        <w:rPr/>
      </w:pPr>
      <w:r>
        <w:t>Small Business Administration: proposed executive training program for 8(a) business owners and other eligible participants; $50,000</w:t>
      </w:r>
    </w:p>
    <w:p w14:paraId="000000BC">
      <w:pPr>
        <w:pStyle w:val="CVSection"/>
        <w:widowControl w:val="on"/>
        <w:pBdr>
          <w:bottom w:val="single" w:color="a6b6c8" w:sz="6" w:space="1"/>
        </w:pBdr>
        <w:spacing w:before="160" w:after="60"/>
        <w:rPr/>
      </w:pPr>
      <w:r>
        <w:t>RESEARCH &amp; PROGRAM DEVELOPMENT PROJECTS</w:t>
      </w:r>
    </w:p>
    <w:p w14:paraId="000000BD">
      <w:pPr>
        <w:pStyle w:val="CVSubhead"/>
        <w:widowControl w:val="on"/>
        <w:spacing w:before="100" w:after="20"/>
        <w:rPr/>
      </w:pPr>
      <w:r>
        <w:t>Current and Long-Term Projects</w:t>
      </w:r>
    </w:p>
    <w:p w14:paraId="000000BE">
      <w:pPr>
        <w:pStyle w:val="ListBullet"/>
        <w:widowControl w:val="on"/>
        <w:spacing w:after="24"/>
        <w:ind w:left="259" w:hanging="187"/>
        <w:rPr/>
      </w:pPr>
      <w:r>
        <w:t>Developed an entrepreneurship program for women in northern Thailand. https://michdott.wixsite.com/entrepreneurs</w:t>
      </w:r>
    </w:p>
    <w:p w14:paraId="000000BF">
      <w:pPr>
        <w:pStyle w:val="ListBullet"/>
        <w:widowControl w:val="on"/>
        <w:spacing w:after="24"/>
        <w:ind w:left="259" w:hanging="187"/>
        <w:rPr/>
      </w:pPr>
      <w:r>
        <w:t>The public's information seeking behavior in the digital age: Are public libraries becoming marginalized? What is the future of the bricks-and- mortar library in today's digital culture? Citizen's information-seeking behavior is shifting to virtual sources and major Internet services. Will libraries remain as the central source for free access to information crucial for a democratic society? (Active project: 2011 to 2015)</w:t>
      </w:r>
    </w:p>
    <w:p w14:paraId="000000C0">
      <w:pPr>
        <w:pStyle w:val="ListBullet"/>
        <w:widowControl w:val="on"/>
        <w:spacing w:after="24"/>
        <w:ind w:left="259" w:hanging="187"/>
        <w:rPr/>
      </w:pPr>
      <w:r>
        <w:t>Definition of entrepreneurship, social entrepreneurship, and the creative class: After extensive reading and attendance at numerous workshops, it is apparent that the definition and concept of these forms of entrepreneurship are robust and have various interpretations in each field of study. My goal is to write an article for journal publication that describes the depth and breadth of the definition of entrepreneur with the title: "Entrepreneurship, A Term of Art." (Active project: 2007 to present)</w:t>
      </w:r>
    </w:p>
    <w:p w14:paraId="000000C1">
      <w:pPr>
        <w:pStyle w:val="CVSubhead"/>
        <w:widowControl w:val="on"/>
        <w:spacing w:before="100" w:after="20"/>
        <w:rPr/>
      </w:pPr>
      <w:r>
        <w:t>Prior Projects</w:t>
      </w:r>
    </w:p>
    <w:p w14:paraId="000000C2">
      <w:pPr>
        <w:pStyle w:val="ListBullet"/>
        <w:widowControl w:val="on"/>
        <w:spacing w:after="24"/>
        <w:ind w:left="259" w:hanging="187"/>
        <w:rPr/>
      </w:pPr>
      <w:r>
        <w:t>Using a Non-Traditional Education Model to Build Entrepreneurial Competencies: for Nascent Entrepreneurs in Sri Lanka; an education program in partnership with the Department of Entrepreneurship of University of Sri Jayewardenepura, Sri Lanka, to develop entrepreneurial competencies in Sri Lankan adults and teens. The program uses a blended model to develop four essential competencies nascent entrepreneurs need to launch their first venture - opportunity recognition, opportunity assessment, risk management/mitigation, and self-efficacy. The curriculum will be offered in Facebook and taught as a blended model with the support of on-site facilitators who will help to engage students in practicing the techniques, skills, and competences required to tap their imagination and to mold the best ideas into the beginning of a viable business enterprise. Facilitators will be local entrepreneurs who are students or alumni of the Masters of Entrepreneurship degree offered by the university. (Proposed: January 2020)</w:t>
      </w:r>
    </w:p>
    <w:p w14:paraId="000000C3">
      <w:pPr>
        <w:pStyle w:val="ListBullet"/>
        <w:widowControl w:val="on"/>
        <w:spacing w:after="24"/>
        <w:ind w:left="259" w:hanging="187"/>
        <w:rPr/>
      </w:pPr>
      <w:r>
        <w:t>Upgrading four courses that I teach on a regular basis to fully utilize Blackboard and other online line resources such as simulations, Google tools, YouTube, webpage development sites, and other free educational program available on the Internet. The four courses are: Marketing Research, Consumer Behavior, Global Marketing, and Marketing Management. (Active project: 2009 to 2013)</w:t>
      </w:r>
    </w:p>
    <w:p w14:paraId="000000C4">
      <w:pPr>
        <w:pStyle w:val="ListBullet"/>
        <w:widowControl w:val="on"/>
        <w:spacing w:after="24"/>
        <w:ind w:left="259" w:hanging="187"/>
        <w:rPr/>
      </w:pPr>
      <w:r>
        <w:t>Delineate the overlaps in teaching small business management and entrepreneurship courses. A problem that has plagued instructors at schools with more than one entrepreneurship-related course is the teaching of redundant material to students within the Entrepreneurship curriculum. There is obvious overlap among topics within the Small Business Management course and the Entrepreneurship course. The overlap between the two or more courses is a problem for those students in Entrepreneurship majors or concentrations who will likely take all the entrepreneurship courses the school offers. (Active project: 2011 to 2014)</w:t>
      </w:r>
    </w:p>
    <w:p w14:paraId="000000C5">
      <w:pPr>
        <w:pStyle w:val="ListBullet"/>
        <w:widowControl w:val="on"/>
        <w:spacing w:after="24"/>
        <w:ind w:left="259" w:hanging="187"/>
        <w:rPr/>
      </w:pPr>
      <w:r>
        <w:t>Illinois Entrepreneurship Consortium, which proposes to provide a coordinating and inventorying service to Entrepreneurship Support Organizations (ESOs) that shares and disseminates descriptions of existing support services, communicates best practices, organizes annual meetings of small business service providers, engages in dialogue and research of existing and future challenges surrounding ESOs and provides strong and clear advocacy initiatives in both legislative arenas as well as in the public opinion arena. (Active project: 2007-2010)</w:t>
      </w:r>
    </w:p>
    <w:p w14:paraId="000000C6">
      <w:pPr>
        <w:pStyle w:val="CVSection"/>
        <w:widowControl w:val="on"/>
        <w:pBdr>
          <w:bottom w:val="single" w:color="a6b6c8" w:sz="6" w:space="1"/>
        </w:pBdr>
        <w:spacing w:before="160" w:after="60"/>
        <w:rPr/>
      </w:pPr>
      <w:r>
        <w:rPr/>
        <w:br w:type="page"/>
      </w:r>
    </w:p>
    <w:p w14:paraId="000000C7">
      <w:pPr>
        <w:pStyle w:val="CVSection"/>
        <w:widowControl w:val="on"/>
        <w:pBdr>
          <w:bottom w:val="single" w:color="a6b6c8" w:sz="6" w:space="1"/>
        </w:pBdr>
        <w:spacing w:before="160" w:after="60"/>
        <w:rPr/>
      </w:pPr>
      <w:r>
        <w:t>COMMUNITY &amp; PUBLIC SERVICE</w:t>
      </w:r>
    </w:p>
    <w:p w14:paraId="000000C8">
      <w:pPr>
        <w:pStyle w:val="ListBullet"/>
        <w:widowControl w:val="on"/>
        <w:spacing w:after="24"/>
        <w:ind w:left="259" w:hanging="187"/>
        <w:rPr/>
      </w:pPr>
      <w:r>
        <w:t>Mentor for new entrepreneurship faculty, USASBE Justin T. Longnecker Program, 2014-2016</w:t>
      </w:r>
    </w:p>
    <w:p w14:paraId="000000C9">
      <w:pPr>
        <w:pStyle w:val="ListBullet"/>
        <w:widowControl w:val="on"/>
        <w:spacing w:after="24"/>
        <w:ind w:left="259" w:hanging="187"/>
        <w:rPr/>
      </w:pPr>
      <w:r>
        <w:t>Des Plaines Public Library, Board Member, 2010-2015</w:t>
      </w:r>
    </w:p>
    <w:p w14:paraId="000000CA">
      <w:pPr>
        <w:pStyle w:val="ListBullet"/>
        <w:widowControl w:val="on"/>
        <w:spacing w:after="24"/>
        <w:ind w:left="259" w:hanging="187"/>
        <w:rPr/>
      </w:pPr>
      <w:r>
        <w:t>Faculty Advisor, Student Consulting for Nonprofit Organizations (SCNO), 2012-2014</w:t>
      </w:r>
    </w:p>
    <w:p w14:paraId="000000CB">
      <w:pPr>
        <w:pStyle w:val="ListBullet"/>
        <w:widowControl w:val="on"/>
        <w:spacing w:after="24"/>
        <w:ind w:left="259" w:hanging="187"/>
        <w:rPr/>
      </w:pPr>
      <w:r>
        <w:t>Academic advisor for UIC honors student projects, 2009-2014</w:t>
      </w:r>
    </w:p>
    <w:p w14:paraId="000000CC">
      <w:pPr>
        <w:pStyle w:val="ListBullet"/>
        <w:widowControl w:val="on"/>
        <w:spacing w:after="24"/>
        <w:ind w:left="259" w:hanging="187"/>
        <w:rPr/>
      </w:pPr>
      <w:r>
        <w:t>Faculty advisor, UIC student organization in Supply Chain Management, 2009-2014</w:t>
      </w:r>
    </w:p>
    <w:p w14:paraId="000000CD">
      <w:pPr>
        <w:pStyle w:val="ListBullet"/>
        <w:widowControl w:val="on"/>
        <w:spacing w:after="24"/>
        <w:ind w:left="259" w:hanging="187"/>
        <w:rPr/>
      </w:pPr>
      <w:r>
        <w:t>Mentor for UIC CUPPA graduate students, CUPPA Alumni Association, 2011-2014</w:t>
      </w:r>
    </w:p>
    <w:p w14:paraId="000000CE">
      <w:pPr>
        <w:pStyle w:val="ListBullet"/>
        <w:widowControl w:val="on"/>
        <w:spacing w:after="24"/>
        <w:ind w:left="259" w:hanging="187"/>
        <w:rPr/>
      </w:pPr>
      <w:r>
        <w:t>Friends of Downtown, nonprofit organization focused on development of downtown Chicago, Board Member, 2010-2014</w:t>
      </w:r>
    </w:p>
    <w:p w14:paraId="000000CF">
      <w:pPr>
        <w:pStyle w:val="ListBullet"/>
        <w:widowControl w:val="on"/>
        <w:spacing w:after="24"/>
        <w:ind w:left="259" w:hanging="187"/>
        <w:rPr/>
      </w:pPr>
      <w:r>
        <w:t>Member, UIC Supply Chain Management and Logistic Association, 2009-2014</w:t>
      </w:r>
    </w:p>
    <w:p w14:paraId="000000D0">
      <w:pPr>
        <w:pStyle w:val="ListBullet"/>
        <w:widowControl w:val="on"/>
        <w:spacing w:after="24"/>
        <w:ind w:left="259" w:hanging="187"/>
        <w:rPr/>
      </w:pPr>
      <w:r>
        <w:t>Administrative agent, Illinois Community Technology Consortium, 2005-2007</w:t>
      </w:r>
    </w:p>
    <w:p w14:paraId="000000D1">
      <w:pPr>
        <w:pStyle w:val="ListBullet"/>
        <w:widowControl w:val="on"/>
        <w:spacing w:after="24"/>
        <w:ind w:left="259" w:hanging="187"/>
        <w:rPr/>
      </w:pPr>
      <w:r>
        <w:t>Faculty mentor for two Illinois Mathematics and Science Academy students studying minority-owned businesses, 2005-2006</w:t>
      </w:r>
    </w:p>
    <w:p w14:paraId="000000D2">
      <w:pPr>
        <w:pStyle w:val="ListBullet"/>
        <w:widowControl w:val="on"/>
        <w:spacing w:after="24"/>
        <w:ind w:left="259" w:hanging="187"/>
        <w:rPr/>
      </w:pPr>
      <w:r>
        <w:t>Senior advisor to UIC student-led consulting teams, 1983-2012</w:t>
      </w:r>
    </w:p>
    <w:p w14:paraId="000000D3">
      <w:pPr>
        <w:pStyle w:val="ListBullet"/>
        <w:widowControl w:val="on"/>
        <w:spacing w:after="24"/>
        <w:ind w:left="259" w:hanging="187"/>
        <w:rPr/>
      </w:pPr>
      <w:r>
        <w:t>Illinois Center for Rehabilitation and Education: helped develop the Wheels of Dreams venture for students with severe physical disabilities and health-related issues; follow-up support provided by a UIC student consulting team, Fall 2004</w:t>
      </w:r>
    </w:p>
    <w:p w14:paraId="000000D4">
      <w:pPr>
        <w:pStyle w:val="ListBullet"/>
        <w:widowControl w:val="on"/>
        <w:spacing w:after="24"/>
        <w:ind w:left="259" w:hanging="187"/>
        <w:rPr/>
      </w:pPr>
      <w:r>
        <w:t>Civil Service Commissioner, City of Des Plaines, 1989-1992 and 2000-2003</w:t>
      </w:r>
    </w:p>
    <w:p w14:paraId="000000D5">
      <w:pPr>
        <w:pStyle w:val="ListBullet"/>
        <w:widowControl w:val="on"/>
        <w:spacing w:after="24"/>
        <w:ind w:left="259" w:hanging="187"/>
        <w:rPr/>
      </w:pPr>
      <w:r>
        <w:t>Guest speaker, College of DuPage, Government Purchasing, 1990</w:t>
      </w:r>
    </w:p>
    <w:p w14:paraId="000000D6">
      <w:pPr>
        <w:pStyle w:val="ListBullet"/>
        <w:widowControl w:val="on"/>
        <w:spacing w:after="24"/>
        <w:ind w:left="259" w:hanging="187"/>
        <w:rPr/>
      </w:pPr>
      <w:r>
        <w:t>Member, City of Des Plaines / Des Plaines Chamber of Commerce and Industry Task Force, 1986</w:t>
      </w:r>
    </w:p>
    <w:p w14:paraId="000000D7">
      <w:pPr>
        <w:pStyle w:val="CVSection"/>
        <w:widowControl w:val="on"/>
        <w:pBdr>
          <w:bottom w:val="single" w:color="a6b6c8" w:sz="6" w:space="1"/>
        </w:pBdr>
        <w:spacing w:before="160" w:after="60"/>
        <w:rPr/>
      </w:pPr>
      <w:r>
        <w:t>PROFESSIONAL EXPERIENCE BEYOND ACADEMIA</w:t>
      </w:r>
    </w:p>
    <w:p w14:paraId="000000D8">
      <w:pPr>
        <w:pStyle w:val="ListBullet"/>
        <w:widowControl w:val="on"/>
        <w:spacing w:after="24"/>
        <w:ind w:left="259" w:hanging="187"/>
        <w:rPr/>
      </w:pPr>
      <w:r>
        <w:t>Chicago Transit Authority, Purchasing Department, 1973 to 1999, retired</w:t>
      </w:r>
    </w:p>
    <w:p w14:paraId="000000D9">
      <w:pPr>
        <w:pStyle w:val="ListBullet2"/>
        <w:widowControl w:val="on"/>
        <w:spacing w:after="24"/>
        <w:ind w:left="605" w:hanging="187"/>
        <w:rPr/>
      </w:pPr>
      <w:r>
        <w:t>Automatic Fare Collection System - Contract officer for a $60 million negotiated procurement and chair of a 16-member negotiating team. The AFC system is the first fully integrated bus and rail electronic fare collection system installed in the U.S.</w:t>
      </w:r>
    </w:p>
    <w:p w14:paraId="000000DA">
      <w:pPr>
        <w:pStyle w:val="ListBullet2"/>
        <w:widowControl w:val="on"/>
        <w:spacing w:after="24"/>
        <w:ind w:left="605" w:hanging="187"/>
        <w:rPr/>
      </w:pPr>
      <w:r>
        <w:t>New Bus Radio Communications System - Contract officer for a $30 million negotiated procurement and chair of a 7-member negotiating team. Successfully negotiated with the only bidder to reduce their initial price by $8 million</w:t>
      </w:r>
    </w:p>
    <w:p w14:paraId="000000DB">
      <w:pPr>
        <w:pStyle w:val="ListBullet2"/>
        <w:widowControl w:val="on"/>
        <w:spacing w:after="24"/>
        <w:ind w:left="605" w:hanging="187"/>
        <w:rPr/>
      </w:pPr>
      <w:r>
        <w:t>International Procurement - Contract officer for a $7 million negotiated procurement of railroad ties from West Africa. Contract administration included plant inspection and monitoring all aspects of the production, shipping, and receipt of material</w:t>
      </w:r>
    </w:p>
    <w:p w14:paraId="000000DC">
      <w:pPr>
        <w:pStyle w:val="ListBullet2"/>
        <w:widowControl w:val="on"/>
        <w:spacing w:after="24"/>
        <w:ind w:left="605" w:hanging="187"/>
        <w:rPr/>
      </w:pPr>
      <w:r>
        <w:t>$300 Million Transit Line Reconstruction Project - Contract Officer for approximately $50 Million of the Green Line Contracts including cleaning and repainting work, construction of new electrical substations, renovation of rail stations and construction of new rail stations, track replacement, and materials</w:t>
      </w:r>
    </w:p>
    <w:p w14:paraId="000000DD">
      <w:pPr>
        <w:pStyle w:val="ListBullet"/>
        <w:widowControl w:val="on"/>
        <w:spacing w:after="24"/>
        <w:ind w:left="259" w:hanging="187"/>
        <w:rPr/>
      </w:pPr>
      <w:r>
        <w:t>Chemetron Corporation, Chicago, IL, 1972-1974. Technical Writer, Photographer: responsible for writing industrial catalogs, technical bulletins and field reports. Worked with product managers and research and development engineers</w:t>
      </w:r>
    </w:p>
    <w:p w14:paraId="000000DE">
      <w:pPr>
        <w:pStyle w:val="ListBullet"/>
        <w:widowControl w:val="on"/>
        <w:spacing w:after="24"/>
        <w:ind w:left="259" w:hanging="187"/>
        <w:rPr/>
      </w:pPr>
      <w:r>
        <w:t>1985-2010 Consulting, fee-based: various small businesses with sales less than $1 million</w:t>
      </w:r>
    </w:p>
    <w:p w14:paraId="000000DF">
      <w:pPr>
        <w:pStyle w:val="ListBullet"/>
        <w:widowControl w:val="on"/>
        <w:spacing w:after="24"/>
        <w:ind w:left="259" w:hanging="187"/>
        <w:rPr/>
      </w:pPr>
      <w:r>
        <w:t>1969-1987 Owned and operated a home-based photography business employing two permanent part-time employees and two associate photographers</w:t>
      </w:r>
    </w:p>
    <w:p w14:paraId="000000E0">
      <w:pPr>
        <w:pStyle w:val="CVSection"/>
        <w:widowControl w:val="on"/>
        <w:pBdr>
          <w:bottom w:val="single" w:color="a6b6c8" w:sz="6" w:space="1"/>
        </w:pBdr>
        <w:spacing w:before="160" w:after="60"/>
        <w:rPr/>
      </w:pPr>
      <w:r>
        <w:rPr/>
        <w:br w:type="page"/>
      </w:r>
    </w:p>
    <w:p w14:paraId="000000E1">
      <w:pPr>
        <w:pStyle w:val="CVSection"/>
        <w:widowControl w:val="on"/>
        <w:pBdr>
          <w:bottom w:val="single" w:color="a6b6c8" w:sz="6" w:space="1"/>
        </w:pBdr>
        <w:spacing w:before="160" w:after="60"/>
        <w:rPr/>
      </w:pPr>
      <w:r>
        <w:t>EVENT &amp; CONFERENCE ORGANIZATION</w:t>
      </w:r>
    </w:p>
    <w:p w14:paraId="000000E2">
      <w:pPr>
        <w:pStyle w:val="ListBullet"/>
        <w:widowControl w:val="on"/>
        <w:spacing w:after="24"/>
        <w:ind w:left="259" w:hanging="187"/>
        <w:rPr/>
      </w:pPr>
      <w:r>
        <w:t>Principal co-organizer, Illinois Community Technology Consortium First Annual Illinois Community Technology Conference, 'Building Connected Communities in Illinois,' Chicago, September 23-24, 2004</w:t>
      </w:r>
    </w:p>
    <w:p w14:paraId="000000E3">
      <w:pPr>
        <w:pStyle w:val="ListBullet"/>
        <w:widowControl w:val="on"/>
        <w:spacing w:after="24"/>
        <w:ind w:left="259" w:hanging="187"/>
        <w:rPr/>
      </w:pPr>
      <w:r>
        <w:t>Exposition Chair, 'Technology Exposition: Making E-Commerce A Success,' IAPPO, May 2001</w:t>
      </w:r>
    </w:p>
    <w:p w14:paraId="000000E4">
      <w:pPr>
        <w:pStyle w:val="ListBullet"/>
        <w:widowControl w:val="on"/>
        <w:spacing w:after="24"/>
        <w:ind w:left="259" w:hanging="187"/>
        <w:rPr/>
      </w:pPr>
      <w:r>
        <w:t>Principal organizer, Management Assistance Conference, 1983-1985</w:t>
      </w:r>
    </w:p>
    <w:p w14:paraId="000000E5">
      <w:pPr>
        <w:pStyle w:val="ListBullet"/>
        <w:widowControl w:val="on"/>
        <w:spacing w:after="24"/>
        <w:ind w:left="259" w:hanging="187"/>
        <w:rPr/>
      </w:pPr>
      <w:r>
        <w:t>Principal organizer, Successful Marketing Strategies for the Independent Retailer seminar, 1983-1985</w:t>
      </w:r>
    </w:p>
    <w:p w14:paraId="000000E6">
      <w:pPr>
        <w:pStyle w:val="ListBullet"/>
        <w:widowControl w:val="on"/>
        <w:spacing w:after="24"/>
        <w:ind w:left="259" w:hanging="187"/>
        <w:rPr/>
      </w:pPr>
      <w:r>
        <w:t>Principal organizer, Microcomputers and Electronic Spreadsheets seminar, 1983-1985</w:t>
      </w:r>
    </w:p>
    <w:p w14:paraId="000000E7">
      <w:pPr>
        <w:pStyle w:val="ListBullet"/>
        <w:widowControl w:val="on"/>
        <w:spacing w:after="24"/>
        <w:ind w:left="259" w:hanging="187"/>
        <w:rPr/>
      </w:pPr>
      <w:r>
        <w:t>Principal organizer, Starting Your Own Business seminar, 1983-1985</w:t>
      </w:r>
    </w:p>
    <w:p w14:paraId="000000E8">
      <w:pPr>
        <w:pStyle w:val="ListBullet"/>
        <w:widowControl w:val="on"/>
        <w:spacing w:after="24"/>
        <w:ind w:left="259" w:hanging="187"/>
        <w:rPr/>
      </w:pPr>
      <w:r>
        <w:t>Principal organizer, Financing for the Independent Business seminar, 1983-1985</w:t>
      </w:r>
    </w:p>
    <w:p w14:paraId="000000E9">
      <w:pPr>
        <w:pStyle w:val="ListBullet"/>
        <w:widowControl w:val="on"/>
        <w:spacing w:after="24"/>
        <w:ind w:left="259" w:hanging="187"/>
        <w:rPr/>
      </w:pPr>
      <w:r>
        <w:t>Member, Local Arrangements Committee, 29th World Conference of the International Council for Small Business, Chicago, June 1985</w:t>
      </w:r>
    </w:p>
    <w:p w14:paraId="000000EA">
      <w:pPr>
        <w:pStyle w:val="ListBullet"/>
        <w:widowControl w:val="on"/>
        <w:spacing w:after="24"/>
        <w:ind w:left="259" w:hanging="187"/>
        <w:rPr/>
      </w:pPr>
      <w:r>
        <w:t>Principal faculty coordinator, Midwest's first collegiate Entrepreneurship Conference, University of Illinois at Chicago and Fanny Mae Foundation, Chicago, 1985</w:t>
      </w:r>
    </w:p>
    <w:p w14:paraId="000000EB">
      <w:pPr>
        <w:pStyle w:val="CVSection"/>
        <w:widowControl w:val="on"/>
        <w:pBdr>
          <w:bottom w:val="single" w:color="a6b6c8" w:sz="6" w:space="1"/>
        </w:pBdr>
        <w:spacing w:before="160" w:after="60"/>
        <w:rPr/>
      </w:pPr>
      <w:r>
        <w:t>CERTIFICATIONS, HONORS &amp; RECOGNITION</w:t>
      </w:r>
    </w:p>
    <w:p w14:paraId="000000EC">
      <w:pPr>
        <w:pStyle w:val="ListBullet"/>
        <w:widowControl w:val="on"/>
        <w:spacing w:after="24"/>
        <w:ind w:left="259" w:hanging="187"/>
        <w:rPr/>
      </w:pPr>
      <w:r>
        <w:t>Outstanding Employee Award for outstanding job performance and dedication to the goals and objectives of the Chicago Transit Authority's Material &amp; Information Management Group, 1994</w:t>
      </w:r>
    </w:p>
    <w:p w14:paraId="000000ED">
      <w:pPr>
        <w:pStyle w:val="ListBullet"/>
        <w:widowControl w:val="on"/>
        <w:spacing w:after="24"/>
        <w:ind w:left="259" w:hanging="187"/>
        <w:rPr/>
      </w:pPr>
      <w:r>
        <w:t>USASBE Fellow in recognition of meritorious service to the United States Association for Small Business and Entrepreneurship, 1987</w:t>
      </w:r>
    </w:p>
    <w:p w14:paraId="000000EE">
      <w:pPr>
        <w:pStyle w:val="ListBullet"/>
        <w:widowControl w:val="on"/>
        <w:spacing w:after="24"/>
        <w:ind w:left="259" w:hanging="187"/>
        <w:rPr/>
      </w:pPr>
      <w:r>
        <w:t>Symposium for Entrepreneurship Educators at Babson College, June 1987</w:t>
      </w:r>
    </w:p>
    <w:p w14:paraId="000000EF">
      <w:pPr>
        <w:pStyle w:val="ListBullet"/>
        <w:widowControl w:val="on"/>
        <w:spacing w:after="24"/>
        <w:ind w:left="259" w:hanging="187"/>
        <w:rPr/>
      </w:pPr>
      <w:r>
        <w:t>Special Recognition Award for attending the Chicago Transit Authority Technical Institute, 1986</w:t>
      </w:r>
    </w:p>
    <w:p w14:paraId="000000F0">
      <w:pPr>
        <w:pStyle w:val="ListBullet"/>
        <w:widowControl w:val="on"/>
        <w:spacing w:after="24"/>
        <w:ind w:left="259" w:hanging="187"/>
        <w:rPr/>
      </w:pPr>
      <w:r>
        <w:t>Certified Purchasing Manager, C.P.M. - Professional certification of the National Association of</w:t>
      </w:r>
    </w:p>
    <w:p w14:paraId="000000F1">
      <w:pPr>
        <w:pStyle w:val="ListBullet"/>
        <w:widowControl w:val="on"/>
        <w:spacing w:after="24"/>
        <w:ind w:left="259" w:hanging="187"/>
        <w:rPr/>
      </w:pPr>
      <w:r>
        <w:t>Purchasing Management, 1986, renewed 1991, Lifetime Certification 1997</w:t>
      </w:r>
    </w:p>
    <w:p w14:paraId="000000F2">
      <w:pPr>
        <w:pStyle w:val="ListBullet"/>
        <w:widowControl w:val="on"/>
        <w:spacing w:after="24"/>
        <w:ind w:left="259" w:hanging="187"/>
        <w:rPr/>
      </w:pPr>
      <w:r>
        <w:t>Illinois Association of Public Procurement Officials, IAPPO, Lifetime Membership, 1999</w:t>
      </w:r>
    </w:p>
    <w:p w14:paraId="000000F3">
      <w:pPr>
        <w:pStyle w:val="ListBullet"/>
        <w:widowControl w:val="on"/>
        <w:spacing w:after="24"/>
        <w:ind w:left="259" w:hanging="187"/>
        <w:rPr/>
      </w:pPr>
      <w:r>
        <w:t>Recipient of the "4-H Award of the Silver Clover", in recognition of service to 4-H as a volunteer leader, US Department of Agriculture, 1988</w:t>
      </w:r>
    </w:p>
    <w:p w14:paraId="000000F4">
      <w:pPr>
        <w:pStyle w:val="CVSection"/>
        <w:widowControl w:val="on"/>
        <w:pBdr>
          <w:bottom w:val="single" w:color="a6b6c8" w:sz="6" w:space="1"/>
        </w:pBdr>
        <w:spacing w:before="160" w:after="60"/>
        <w:rPr/>
      </w:pPr>
      <w:r>
        <w:t>SELECTED CITATIONS, MEDIA MENTIONS &amp; PROFESSIONAL RECOGNITION</w:t>
      </w:r>
    </w:p>
    <w:p w14:paraId="000000F5">
      <w:pPr>
        <w:pStyle w:val="ListBullet"/>
        <w:widowControl w:val="on"/>
        <w:spacing w:after="24"/>
        <w:ind w:left="259" w:hanging="187"/>
        <w:rPr/>
      </w:pPr>
      <w:r>
        <w:t>ICSB Member Profile 2015: http://www.icsb.org/2015/02/13/icsb-member- profile-eugene-fregetto-usasbe-member-since-1982/</w:t>
      </w:r>
    </w:p>
    <w:p w14:paraId="000000F6">
      <w:pPr>
        <w:pStyle w:val="ListBullet"/>
        <w:widowControl w:val="on"/>
        <w:spacing w:after="24"/>
        <w:ind w:left="259" w:hanging="187"/>
        <w:rPr/>
      </w:pPr>
      <w:r>
        <w:t>"Ethnic Entrepreneurship: A theoretical framework," Thierry Volery, In: Handbook of Research on Ethnic Minority Entrepreneurship: A Co-evolutionary View on Resource Management., edited by Leo-Paul Dana, Edgar Elgar Publishing, 2008</w:t>
      </w:r>
    </w:p>
    <w:p w14:paraId="000000F7">
      <w:pPr>
        <w:pStyle w:val="ListBullet"/>
        <w:widowControl w:val="on"/>
        <w:spacing w:after="24"/>
        <w:ind w:left="259" w:hanging="187"/>
        <w:rPr/>
      </w:pPr>
      <w:r>
        <w:t>Listed in "Who's Who in Finance and Business," 36th Edition</w:t>
      </w:r>
    </w:p>
    <w:p w14:paraId="000000F8">
      <w:pPr>
        <w:pStyle w:val="ListBullet"/>
        <w:widowControl w:val="on"/>
        <w:spacing w:after="24"/>
        <w:ind w:left="259" w:hanging="187"/>
        <w:rPr/>
      </w:pPr>
      <w:r>
        <w:t>Listed in "Who's Who in American Education," 2007 - 2008 Edition</w:t>
      </w:r>
    </w:p>
    <w:p w14:paraId="000000F9">
      <w:pPr>
        <w:pStyle w:val="ListBullet"/>
        <w:widowControl w:val="on"/>
        <w:spacing w:after="24"/>
        <w:ind w:left="259" w:hanging="187"/>
        <w:rPr/>
      </w:pPr>
      <w:r>
        <w:t>"Drawing parallels: Design Pedagogies and Entrepreneurship Education," Andrew Penaluna, working paper, Entrepreneurship, Design, and Management, 2007 (online at www.elia- artschools.org/_downloads/activities/trigger_ta/A1_full.pdf)</w:t>
      </w:r>
    </w:p>
    <w:p w14:paraId="000000FA">
      <w:pPr>
        <w:pStyle w:val="ListBullet"/>
        <w:widowControl w:val="on"/>
        <w:spacing w:after="24"/>
        <w:ind w:left="259" w:hanging="187"/>
        <w:rPr/>
      </w:pPr>
      <w:r>
        <w:t>Quoted in a Chicago Tribune article written by Ann Meyer, April 2, 2007, "Minority Businesses leery of Label: Designation opens doors to work but can imply limitations"</w:t>
      </w:r>
    </w:p>
    <w:p w14:paraId="000000FB">
      <w:pPr>
        <w:pStyle w:val="ListBullet"/>
        <w:widowControl w:val="on"/>
        <w:spacing w:after="24"/>
        <w:ind w:left="259" w:hanging="187"/>
        <w:rPr/>
      </w:pPr>
      <w:r>
        <w:t>Quoted in a Chicago Tribune article written by Ann Meyer, January 29, 2007. "Sales SWAT Team to the Rescue."</w:t>
      </w:r>
    </w:p>
    <w:p w14:paraId="000000FC">
      <w:pPr>
        <w:pStyle w:val="ListBullet"/>
        <w:widowControl w:val="on"/>
        <w:spacing w:after="24"/>
        <w:ind w:left="259" w:hanging="187"/>
        <w:rPr/>
      </w:pPr>
      <w:r>
        <w:t>"An Entrepreneurial Approach to Entrepreneurship Education: Active Teaching," Gordon E. Haym, USASBE/SBI Conference Proceedings, 2006</w:t>
      </w:r>
    </w:p>
    <w:p w14:paraId="000000FD">
      <w:pPr>
        <w:pStyle w:val="ListBullet"/>
        <w:widowControl w:val="on"/>
        <w:spacing w:after="24"/>
        <w:ind w:left="259" w:hanging="187"/>
        <w:rPr/>
      </w:pPr>
      <w:r>
        <w:t>"Business Paradigms in Einstellung: Entrepreneurship Education, A Creative Industries Perspective," Andrew Penaluna and Kathryn Penaluna, working paper, National Council for Graduate Entrepreneurship, August, 2006.</w:t>
      </w:r>
    </w:p>
    <w:p w14:paraId="000000FE">
      <w:pPr>
        <w:pStyle w:val="ListBullet"/>
        <w:widowControl w:val="on"/>
        <w:spacing w:after="24"/>
        <w:ind w:left="259" w:hanging="187"/>
        <w:rPr/>
      </w:pPr>
      <w:r>
        <w:t>Quoted in a Chicago Tribune article written by Ann Meyer, May 16, 2006, "Taking on Giants: The Small Shop that Fought Back."</w:t>
      </w:r>
    </w:p>
    <w:p w14:paraId="000000FF">
      <w:pPr>
        <w:pStyle w:val="ListBullet"/>
        <w:widowControl w:val="on"/>
        <w:spacing w:after="24"/>
        <w:ind w:left="259" w:hanging="187"/>
        <w:rPr/>
      </w:pPr>
      <w:r>
        <w:t>"Ethnic Entrepreneurship: The Paradox of Cultural Embeddedness," Ethel Brundin, Eslyn Isaacs, Kobus Visser, and Carolyn Wigren, Conference Proceedings, 1st International Conference on Environmental, Cultural, Economic and Social Sustainability, Island of Oahu, Hawaii, February, 2005 (online at http://s05.cgpublisher.com/session_descriptions.html)</w:t>
      </w:r>
    </w:p>
    <w:p w14:paraId="00000100">
      <w:pPr>
        <w:pStyle w:val="ListBullet"/>
        <w:widowControl w:val="on"/>
        <w:spacing w:after="24"/>
        <w:ind w:left="259" w:hanging="187"/>
        <w:rPr/>
      </w:pPr>
      <w:r>
        <w:t>Quoted in a Chicago Tribune article written by Ann Meyer, September 20, 2004, titled, "Bank uses research, training to 'wow' clients with service"</w:t>
      </w:r>
    </w:p>
    <w:p w14:paraId="00000101">
      <w:pPr>
        <w:pStyle w:val="ListBullet"/>
        <w:widowControl w:val="on"/>
        <w:spacing w:after="24"/>
        <w:ind w:left="259" w:hanging="187"/>
        <w:rPr/>
      </w:pPr>
      <w:r>
        <w:t>Quoted in a Chicago Tribune article written by Ann Meyer, August 30, 2004, titled, "Client-focused companies learn to grow with the flow"</w:t>
      </w:r>
    </w:p>
    <w:p w14:paraId="00000102">
      <w:pPr>
        <w:pStyle w:val="ListBullet"/>
        <w:widowControl w:val="on"/>
        <w:spacing w:after="24"/>
        <w:ind w:left="259" w:hanging="187"/>
        <w:rPr/>
      </w:pPr>
      <w:r>
        <w:t>Quoted in a Chicago Tribune article written by Ann Meyer, August 23, 2004, titled, "Companies focus on extra service to brighten up sales"</w:t>
      </w:r>
    </w:p>
    <w:p w14:paraId="00000103">
      <w:pPr>
        <w:pStyle w:val="ListBullet"/>
        <w:widowControl w:val="on"/>
        <w:spacing w:after="24"/>
        <w:ind w:left="259" w:hanging="187"/>
        <w:rPr/>
      </w:pPr>
      <w:r>
        <w:t>Listed in Who's Who in the Midwest, 2004-2005 Edition</w:t>
      </w:r>
    </w:p>
    <w:p w14:paraId="00000104">
      <w:pPr>
        <w:pStyle w:val="ListBullet"/>
        <w:widowControl w:val="on"/>
        <w:spacing w:after="24"/>
        <w:ind w:left="259" w:hanging="187"/>
        <w:rPr/>
      </w:pPr>
      <w:r>
        <w:t>Listed in Who's Who in the Midwest, 21st Edition</w:t>
      </w:r>
    </w:p>
    <w:p w14:paraId="00000105">
      <w:pPr>
        <w:pStyle w:val="ListBullet"/>
        <w:widowControl w:val="on"/>
        <w:spacing w:after="24"/>
        <w:ind w:left="259" w:hanging="187"/>
        <w:rPr/>
      </w:pPr>
      <w:r>
        <w:t>Listed in Who's Who in the Midwest, 3rd Edition</w:t>
      </w:r>
    </w:p>
    <w:p w14:paraId="00000106">
      <w:pPr>
        <w:pStyle w:val="ListBullet"/>
        <w:widowControl w:val="on"/>
        <w:spacing w:after="24"/>
        <w:ind w:left="259" w:hanging="187"/>
        <w:rPr/>
      </w:pPr>
      <w:r>
        <w:t>Quoted in a Chicago Tribune article written by Pamela Dittmer McKuen, January 24, 2003, titled "When contract issues make a bid for your attention"</w:t>
      </w:r>
    </w:p>
    <w:p w14:paraId="00000107">
      <w:pPr>
        <w:pStyle w:val="ListBullet"/>
        <w:widowControl w:val="on"/>
        <w:spacing w:after="24"/>
        <w:ind w:left="259" w:hanging="187"/>
        <w:rPr/>
      </w:pPr>
      <w:r>
        <w:t>Rasheed, Howard S. "Capital Access Barriers to Public Procurement Performance: The Moderating Effects of Ethnicity, Gender, and Education," Journal of Entrepreneurial Development</w:t>
      </w:r>
    </w:p>
    <w:p w14:paraId="00000108">
      <w:pPr>
        <w:pStyle w:val="ListBullet"/>
        <w:widowControl w:val="on"/>
        <w:spacing w:after="24"/>
        <w:ind w:left="259" w:hanging="187"/>
        <w:rPr/>
      </w:pPr>
      <w:r>
        <w:t>"Ask for More Study of DP Panel Memberships," (2003), the Journal &amp; Topics Newspapers Online</w:t>
      </w:r>
    </w:p>
    <w:p w14:paraId="00000109">
      <w:pPr>
        <w:pStyle w:val="ListBullet"/>
        <w:widowControl w:val="on"/>
        <w:spacing w:after="24"/>
        <w:ind w:left="259" w:hanging="187"/>
        <w:rPr/>
      </w:pPr>
      <w:r>
        <w:t>Quoted in a Daily Herald article written by Katja Schupp, November 8, 2000, titled, "Entrepreneurial Spirit Reigns at Navy Pier"</w:t>
      </w:r>
    </w:p>
    <w:sectPr>
      <w:headerReference w:type="default" r:id="rId13"/>
      <w:footerReference w:type="default" r:id="rId14"/>
      <w:pgSz w:w="12240" w:h="15840"/>
      <w:pgMar w:top="1037" w:right="1123" w:bottom="1037" w:left="1123"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00000000" w:csb1="00000000"/>
  </w:font>
  <w:font w:name="Times New Roman">
    <w:panose1 w:val="02020603050405020304"/>
    <w:charset w:val="00"/>
    <w:family w:val="auto"/>
    <w:pitch w:val="variable"/>
    <w:sig w:usb0="00000000" w:usb1="00000000" w:usb2="00000009" w:usb3="00000000" w:csb0="000001ff" w:csb1="00000000"/>
  </w:font>
  <w:font w:name="Cambria">
    <w:panose1 w:val="02040503050406030204"/>
    <w:charset w:val="00"/>
    <w:family w:val="auto"/>
    <w:pitch w:val="variable"/>
    <w:sig w:usb0="00000000" w:usb1="400004ff" w:usb2="00000000" w:usb3="00000000" w:csb0="0000019f" w:csb1="00000000"/>
  </w:font>
  <w:font w:name="ＭＳ 明朝">
    <w:panose1 w:val="00000000000000000000"/>
    <w:charset w:val="80"/>
    <w:family w:val="roman"/>
    <w:notTrueType w:val="on"/>
    <w:pitch w:val="fixed"/>
    <w:sig w:usb0="00000001" w:usb1="08070000" w:usb2="00000010" w:usb3="00000000" w:csb0="00020000" w:csb1="00000000"/>
  </w:font>
  <w:font w:name="Calibri">
    <w:panose1 w:val="020f0502020204030204"/>
    <w:charset w:val="00"/>
    <w:family w:val="auto"/>
    <w:pitch w:val="variable"/>
    <w:sig w:usb0="00000000" w:usb1="4000acff" w:usb2="00000009" w:usb3="00000000" w:csb0="0000019f" w:csb1="00000000"/>
  </w:font>
  <w:font w:name="ＭＳ ゴシック">
    <w:panose1 w:val="00000000000000000000"/>
    <w:charset w:val="80"/>
    <w:family w:val="modern"/>
    <w:notTrueType w:val="on"/>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Wingdings">
    <w:panose1 w:val="05000000000000000000"/>
    <w:charset w:val="02"/>
    <w:family w:val="auto"/>
    <w:notTrueType w:val="on"/>
    <w:pitch w:val="variable"/>
  </w:font>
  <w:font w:name="Helvetica Neue">
    <w:charset w:val="00"/>
    <w:family w:val="swiss"/>
    <w:pitch w:val="variable"/>
  </w:font>
  <w:font w:name="Aptos"/>
  <w:font w:name="Aptos Display"/>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10B">
    <w:pPr>
      <w:pStyle w:val="Footer"/>
      <w:jc w:val="center"/>
      <w:rPr/>
    </w:pPr>
    <w:r>
      <w:t xml:space="preserve">Page </w:t>
    </w:r>
    <w:r>
      <w:fldChar w:fldCharType="begin"/>
    </w:r>
    <w:r>
      <w:instrText xml:space="preserve">PAGE</w:instrText>
    </w:r>
    <w:r>
      <w:fldChar w:fldCharType="separate"/>
    </w:r>
    <w:r>
      <w:fldChar w:fldCharType="end"/>
    </w:r>
  </w:p>
</w:ftr>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10A">
    <w:pPr>
      <w:pStyle w:val="CVSmall"/>
      <w:jc w:val="center"/>
      <w:rPr/>
    </w:pPr>
    <w:r>
      <w:t>EUGENE F. FREGGETTO, PH.D., C.P.M.  |  ACADEMIC CURRICULUM VITAE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singleLevel"/>
    <w:lvl w:ilvl="0" w:tentative="0">
      <w:start w:val="1"/>
      <w:numFmt w:val="decimal"/>
      <w:lvlText w:val="%1."/>
      <w:lvlJc w:val="left"/>
      <w:pPr>
        <w:tabs>
          <w:tab w:val="num" w:pos="1800"/>
        </w:tabs>
        <w:ind w:left="1800" w:hanging="360"/>
      </w:pPr>
    </w:lvl>
  </w:abstractNum>
  <w:abstractNum w:abstractNumId="1">
    <w:multiLevelType w:val="singleLevel"/>
    <w:lvl w:ilvl="0" w:tentative="0">
      <w:start w:val="1"/>
      <w:numFmt w:val="decimal"/>
      <w:lvlText w:val="%1."/>
      <w:lvlJc w:val="left"/>
      <w:pPr>
        <w:tabs>
          <w:tab w:val="num" w:pos="1440"/>
        </w:tabs>
        <w:ind w:left="1440" w:hanging="360"/>
      </w:pPr>
    </w:lvl>
  </w:abstractNum>
  <w:abstractNum w:abstractNumId="2">
    <w:multiLevelType w:val="singleLevel"/>
    <w:lvl w:ilvl="0" w:tentative="0">
      <w:start w:val="1"/>
      <w:numFmt w:val="decimal"/>
      <w:pStyle w:val="ListNumber3"/>
      <w:lvlText w:val="%1."/>
      <w:lvlJc w:val="left"/>
      <w:pPr>
        <w:tabs>
          <w:tab w:val="num" w:pos="1080"/>
        </w:tabs>
        <w:ind w:left="1080" w:hanging="360"/>
      </w:pPr>
    </w:lvl>
  </w:abstractNum>
  <w:abstractNum w:abstractNumId="3">
    <w:multiLevelType w:val="singleLevel"/>
    <w:lvl w:ilvl="0" w:tentative="0">
      <w:start w:val="1"/>
      <w:numFmt w:val="decimal"/>
      <w:pStyle w:val="ListNumber2"/>
      <w:lvlText w:val="%1."/>
      <w:lvlJc w:val="left"/>
      <w:pPr>
        <w:tabs>
          <w:tab w:val="num" w:pos="720"/>
        </w:tabs>
        <w:ind w:left="720" w:hanging="360"/>
      </w:pPr>
    </w:lvl>
  </w:abstractNum>
  <w:abstractNum w:abstractNumId="4">
    <w:multiLevelType w:val="singleLevel"/>
    <w:lvl w:ilvl="0" w:tentative="0">
      <w:start w:val="1"/>
      <w:numFmt w:val="bullet"/>
      <w:lvlText w:val=""/>
      <w:lvlJc w:val="left"/>
      <w:pPr>
        <w:tabs>
          <w:tab w:val="num" w:pos="1440"/>
        </w:tabs>
        <w:ind w:left="1440" w:hanging="360"/>
      </w:pPr>
      <w:rPr>
        <w:rFonts w:ascii="Symbol" w:hAnsi="Symbol" w:hint="default"/>
      </w:rPr>
    </w:lvl>
  </w:abstractNum>
  <w:abstractNum w:abstractNumId="5">
    <w:multiLevelType w:val="singleLevel"/>
    <w:lvl w:ilvl="0" w:tentative="0">
      <w:start w:val="1"/>
      <w:numFmt w:val="bullet"/>
      <w:pStyle w:val="ListBullet3"/>
      <w:lvlText w:val=""/>
      <w:lvlJc w:val="left"/>
      <w:pPr>
        <w:tabs>
          <w:tab w:val="num" w:pos="1080"/>
        </w:tabs>
        <w:ind w:left="1080" w:hanging="360"/>
      </w:pPr>
      <w:rPr>
        <w:rFonts w:ascii="Symbol" w:hAnsi="Symbol" w:hint="default"/>
      </w:rPr>
    </w:lvl>
  </w:abstractNum>
  <w:abstractNum w:abstractNumId="6">
    <w:multiLevelType w:val="singleLevel"/>
    <w:lvl w:ilvl="0" w:tentative="0">
      <w:start w:val="1"/>
      <w:numFmt w:val="bullet"/>
      <w:pStyle w:val="ListBullet2"/>
      <w:lvlText w:val=""/>
      <w:lvlJc w:val="left"/>
      <w:pPr>
        <w:tabs>
          <w:tab w:val="num" w:pos="720"/>
        </w:tabs>
        <w:ind w:left="720" w:hanging="360"/>
      </w:pPr>
      <w:rPr>
        <w:rFonts w:ascii="Symbol" w:hAnsi="Symbol" w:hint="default"/>
      </w:rPr>
    </w:lvl>
  </w:abstractNum>
  <w:abstractNum w:abstractNumId="7">
    <w:multiLevelType w:val="singleLevel"/>
    <w:lvl w:ilvl="0" w:tentative="0">
      <w:start w:val="1"/>
      <w:numFmt w:val="decimal"/>
      <w:pStyle w:val="ListNumber"/>
      <w:lvlText w:val="%1."/>
      <w:lvlJc w:val="left"/>
      <w:pPr>
        <w:tabs>
          <w:tab w:val="num" w:pos="360"/>
        </w:tabs>
        <w:ind w:left="360" w:hanging="360"/>
      </w:pPr>
    </w:lvl>
  </w:abstractNum>
  <w:abstractNum w:abstractNumId="8">
    <w:multiLevelType w:val="singleLevel"/>
    <w:lvl w:ilvl="0" w:tentative="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lang w:val="en-US" w:bidi="ar-SA" w:eastAsia="en-US"/>
      </w:rPr>
    </w:rPrDefault>
    <w:pPrDefault>
      <w:pPr>
        <w:spacing w:after="200" w:line="276" w:lineRule="auto"/>
      </w:pPr>
    </w:pPrDefault>
  </w:docDefaults>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000ff" w:themeColor="hyperlink"/>
      <w:u w:val="single"/>
    </w:rPr>
  </w:style>
  <w:style w:type="character" w:styleId="FollowedHyperlink">
    <w:name w:val="FollowedHyperlink"/>
    <w:basedOn w:val="DefaultParagraphFont"/>
    <w:uiPriority w:val="99"/>
    <w:semiHidden w:val="on"/>
    <w:unhideWhenUsed w:val="on"/>
    <w:rPr>
      <w:color w:val="800080" w:themeColor="followed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default="1" w:styleId="Normal">
    <w:name w:val="Normal"/>
    <w:uiPriority w:val="99"/>
    <w:qFormat w:val="on"/>
    <w:pPr>
      <w:spacing w:after="44" w:line="250" w:lineRule="auto"/>
    </w:pPr>
    <w:rPr>
      <w:rFonts w:ascii="Aptos" w:hAnsi="Aptos"/>
      <w:sz w:val="20"/>
    </w:rPr>
  </w:style>
  <w:style w:type="paragraph" w:styleId="Header">
    <w:name w:val="Header"/>
    <w:basedOn w:val="Normal"/>
    <w:link w:val="HeaderChar"/>
    <w:uiPriority w:val="99"/>
    <w:unhideWhenUsed w:val="on"/>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376091" w:themeColor="accent1" w:themeShade="bf"/>
      <w:sz w:val="28"/>
      <w:szCs w:val="28"/>
    </w:rPr>
  </w:style>
  <w:style w:type="paragraph" w:styleId="Heading2">
    <w:name w:val="Heading 2"/>
    <w:basedOn w:val="Normal"/>
    <w:next w:val="Normal"/>
    <w:link w:val="Heading2Char"/>
    <w:uiPriority w:val="9"/>
    <w:unhideWhenUsed w:val="on"/>
    <w:qFormat w:val="on"/>
    <w:pPr>
      <w:keepNext w:val="on"/>
      <w:keepLines w:val="on"/>
      <w:spacing w:before="200" w:after="0"/>
    </w:pPr>
    <w:rPr>
      <w:rFonts w:asciiTheme="majorHAnsi" w:cstheme="majorBidi" w:eastAsiaTheme="majorEastAsia" w:hAnsiTheme="majorHAnsi"/>
      <w:b/>
      <w:bCs/>
      <w:color w:val="4f81bd" w:themeColor="accent1"/>
      <w:sz w:val="26"/>
      <w:szCs w:val="26"/>
    </w:rPr>
  </w:style>
  <w:style w:type="paragraph" w:styleId="Heading3">
    <w:name w:val="Heading 3"/>
    <w:basedOn w:val="Normal"/>
    <w:next w:val="Normal"/>
    <w:link w:val="Heading3Char"/>
    <w:uiPriority w:val="9"/>
    <w:unhideWhenUsed w:val="on"/>
    <w:qFormat w:val="on"/>
    <w:pPr>
      <w:keepNext w:val="on"/>
      <w:keepLines w:val="on"/>
      <w:spacing w:before="200" w:after="0"/>
    </w:pPr>
    <w:rPr>
      <w:rFonts w:asciiTheme="majorHAnsi" w:cstheme="majorBidi" w:eastAsiaTheme="majorEastAsia" w:hAnsiTheme="majorHAnsi"/>
      <w:b/>
      <w:bCs/>
      <w:color w:val="4f81bd"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f81bd"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243f60"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243f60"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f81bd" w:themeColor="accent1"/>
    </w:rPr>
  </w:style>
  <w:style w:type="paragraph" w:styleId="Title">
    <w:name w:val="Title"/>
    <w:basedOn w:val="Normal"/>
    <w:next w:val="Normal"/>
    <w:link w:val="TitleChar"/>
    <w:uiPriority w:val="10"/>
    <w:qFormat w:val="on"/>
    <w:pPr>
      <w:pBdr>
        <w:bottom w:val="single" w:color="4f81bd" w:themeColor="accent1" w:sz="8" w:space="4"/>
      </w:pBdr>
      <w:spacing w:after="300" w:line="240" w:lineRule="auto"/>
      <w:contextualSpacing w:val="on"/>
    </w:pPr>
    <w:rPr>
      <w:rFonts w:asciiTheme="majorHAnsi" w:cstheme="majorBidi" w:eastAsiaTheme="majorEastAsia" w:hAnsiTheme="majorHAnsi"/>
      <w:color w:val="17375d"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17375d"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val="on"/>
    <w:pPr>
      <w:ind w:left="720"/>
      <w:contextualSpacing w:val="on"/>
    </w:pPr>
  </w:style>
  <w:style w:type="paragraph" w:styleId="BodyText">
    <w:name w:val="Body Text"/>
    <w:basedOn w:val="Normal"/>
    <w:link w:val="BodyTextChar"/>
    <w:uiPriority w:val="99"/>
    <w:unhideWhenUsed w:val="on"/>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val="on"/>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val="on"/>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val="on"/>
    <w:pPr>
      <w:ind w:left="360" w:hanging="360"/>
      <w:contextualSpacing w:val="on"/>
    </w:pPr>
  </w:style>
  <w:style w:type="paragraph" w:styleId="List2">
    <w:name w:val="List 2"/>
    <w:basedOn w:val="Normal"/>
    <w:uiPriority w:val="99"/>
    <w:unhideWhenUsed w:val="on"/>
    <w:pPr>
      <w:ind w:left="720" w:hanging="360"/>
      <w:contextualSpacing w:val="on"/>
    </w:pPr>
  </w:style>
  <w:style w:type="paragraph" w:styleId="List3">
    <w:name w:val="List 3"/>
    <w:basedOn w:val="Normal"/>
    <w:uiPriority w:val="99"/>
    <w:unhideWhenUsed w:val="on"/>
    <w:pPr>
      <w:ind w:left="1080" w:hanging="360"/>
      <w:contextualSpacing w:val="on"/>
    </w:pPr>
  </w:style>
  <w:style w:type="paragraph" w:styleId="ListBullet">
    <w:name w:val="List Bullet"/>
    <w:basedOn w:val="Normal"/>
    <w:uiPriority w:val="99"/>
    <w:unhideWhenUsed w:val="on"/>
    <w:pPr>
      <w:numPr>
        <w:ilvl w:val="0"/>
        <w:numId w:val="1"/>
      </w:numPr>
      <w:contextualSpacing w:val="on"/>
    </w:pPr>
  </w:style>
  <w:style w:type="paragraph" w:styleId="ListBullet2">
    <w:name w:val="List Bullet 2"/>
    <w:basedOn w:val="Normal"/>
    <w:uiPriority w:val="99"/>
    <w:unhideWhenUsed w:val="on"/>
    <w:pPr>
      <w:numPr>
        <w:ilvl w:val="0"/>
        <w:numId w:val="2"/>
      </w:numPr>
      <w:contextualSpacing w:val="on"/>
    </w:pPr>
  </w:style>
  <w:style w:type="paragraph" w:styleId="ListBullet3">
    <w:name w:val="List Bullet 3"/>
    <w:basedOn w:val="Normal"/>
    <w:uiPriority w:val="99"/>
    <w:unhideWhenUsed w:val="on"/>
    <w:pPr>
      <w:numPr>
        <w:ilvl w:val="0"/>
        <w:numId w:val="3"/>
      </w:numPr>
      <w:contextualSpacing w:val="on"/>
    </w:pPr>
  </w:style>
  <w:style w:type="paragraph" w:styleId="ListNumber">
    <w:name w:val="List Number"/>
    <w:basedOn w:val="Normal"/>
    <w:uiPriority w:val="99"/>
    <w:unhideWhenUsed w:val="on"/>
    <w:pPr>
      <w:numPr>
        <w:ilvl w:val="0"/>
        <w:numId w:val="5"/>
      </w:numPr>
      <w:contextualSpacing w:val="on"/>
    </w:pPr>
  </w:style>
  <w:style w:type="paragraph" w:styleId="ListNumber2">
    <w:name w:val="List Number 2"/>
    <w:basedOn w:val="Normal"/>
    <w:uiPriority w:val="99"/>
    <w:unhideWhenUsed w:val="on"/>
    <w:pPr>
      <w:numPr>
        <w:ilvl w:val="0"/>
        <w:numId w:val="6"/>
      </w:numPr>
      <w:contextualSpacing w:val="on"/>
    </w:pPr>
  </w:style>
  <w:style w:type="paragraph" w:styleId="ListNumber3">
    <w:name w:val="List Number 3"/>
    <w:basedOn w:val="Normal"/>
    <w:uiPriority w:val="99"/>
    <w:unhideWhenUsed w:val="on"/>
    <w:pPr>
      <w:numPr>
        <w:ilvl w:val="0"/>
        <w:numId w:val="7"/>
      </w:numPr>
      <w:contextualSpacing w:val="on"/>
    </w:pPr>
  </w:style>
  <w:style w:type="paragraph" w:styleId="ListContinue">
    <w:name w:val="List Continue"/>
    <w:basedOn w:val="Normal"/>
    <w:uiPriority w:val="99"/>
    <w:unhideWhenUsed w:val="on"/>
    <w:pPr>
      <w:spacing w:after="120"/>
      <w:ind w:left="360"/>
      <w:contextualSpacing w:val="on"/>
    </w:pPr>
  </w:style>
  <w:style w:type="paragraph" w:styleId="ListContinue2">
    <w:name w:val="List Continue 2"/>
    <w:basedOn w:val="Normal"/>
    <w:uiPriority w:val="99"/>
    <w:unhideWhenUsed w:val="on"/>
    <w:pPr>
      <w:spacing w:after="120"/>
      <w:ind w:left="720"/>
      <w:contextualSpacing w:val="on"/>
    </w:pPr>
  </w:style>
  <w:style w:type="paragraph" w:styleId="ListContinue3">
    <w:name w:val="List Continue 3"/>
    <w:basedOn w:val="Normal"/>
    <w:uiPriority w:val="99"/>
    <w:unhideWhenUsed w:val="on"/>
    <w:pPr>
      <w:spacing w:after="120"/>
      <w:ind w:left="1080"/>
      <w:contextualSpacing w:val="on"/>
    </w:pPr>
  </w:style>
  <w:style w:type="paragraph" w:styleId="Macro">
    <w:name w:val="Macro"/>
    <w:link w:val="MacroTextChar"/>
    <w:uiPriority w:val="99"/>
    <w:unhideWhenUsed w:val="on"/>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Pr>
      <w:rFonts w:ascii="Courier" w:hAnsi="Courier"/>
      <w:sz w:val="20"/>
      <w:szCs w:val="20"/>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val="on"/>
    <w:rPr>
      <w:rFonts w:asciiTheme="majorHAnsi" w:cstheme="majorBidi" w:eastAsiaTheme="majorEastAsia" w:hAnsiTheme="majorHAnsi"/>
      <w:b/>
      <w:bCs/>
      <w:i/>
      <w:iCs/>
      <w:color w:val="4f81bd" w:themeColor="accent1"/>
    </w:rPr>
  </w:style>
  <w:style w:type="character" w:customStyle="1" w:styleId="Heading5Char">
    <w:name w:val="Heading 5 Char"/>
    <w:basedOn w:val="DefaultParagraphFont"/>
    <w:link w:val="Heading5"/>
    <w:uiPriority w:val="9"/>
    <w:semiHidden w:val="on"/>
    <w:rPr>
      <w:rFonts w:asciiTheme="majorHAnsi" w:cstheme="majorBidi" w:eastAsiaTheme="majorEastAsia" w:hAnsiTheme="majorHAnsi"/>
      <w:color w:val="243f60" w:themeColor="accent1" w:themeShade="7f"/>
    </w:rPr>
  </w:style>
  <w:style w:type="character" w:customStyle="1" w:styleId="Heading6Char">
    <w:name w:val="Heading 6 Char"/>
    <w:basedOn w:val="DefaultParagraphFont"/>
    <w:link w:val="Heading6"/>
    <w:uiPriority w:val="9"/>
    <w:semiHidden w:val="on"/>
    <w:rPr>
      <w:rFonts w:asciiTheme="majorHAnsi" w:cstheme="majorBidi" w:eastAsiaTheme="majorEastAsia" w:hAnsiTheme="majorHAnsi"/>
      <w:i/>
      <w:iCs/>
      <w:color w:val="243f60" w:themeColor="accent1" w:themeShade="7f"/>
    </w:rPr>
  </w:style>
  <w:style w:type="character" w:customStyle="1" w:styleId="Heading7Char">
    <w:name w:val="Heading 7 Char"/>
    <w:basedOn w:val="DefaultParagraphFont"/>
    <w:link w:val="Heading7"/>
    <w:uiPriority w:val="9"/>
    <w:semiHidden w:val="on"/>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semiHidden w:val="on"/>
    <w:rPr>
      <w:rFonts w:asciiTheme="majorHAnsi" w:cstheme="majorBidi" w:eastAsiaTheme="majorEastAsia" w:hAnsiTheme="majorHAnsi"/>
      <w:color w:val="4f81bd" w:themeColor="accent1"/>
      <w:sz w:val="20"/>
      <w:szCs w:val="20"/>
    </w:rPr>
  </w:style>
  <w:style w:type="character" w:customStyle="1" w:styleId="Heading9Char">
    <w:name w:val="Heading 9 Char"/>
    <w:basedOn w:val="DefaultParagraphFont"/>
    <w:link w:val="Heading9"/>
    <w:uiPriority w:val="9"/>
    <w:semiHidden w:val="on"/>
    <w:rPr>
      <w:rFonts w:asciiTheme="majorHAnsi" w:cstheme="majorBidi" w:eastAsiaTheme="majorEastAsia" w:hAnsiTheme="majorHAnsi"/>
      <w:i/>
      <w:iCs/>
      <w:color w:val="404040" w:themeColor="text1" w:themeTint="bf"/>
      <w:sz w:val="20"/>
      <w:szCs w:val="20"/>
    </w:rPr>
  </w:style>
  <w:style w:type="paragraph" w:styleId="Caption">
    <w:name w:val="Caption"/>
    <w:basedOn w:val="Normal"/>
    <w:next w:val="Normal"/>
    <w:uiPriority w:val="35"/>
    <w:semiHidden w:val="on"/>
    <w:unhideWhenUsed w:val="on"/>
    <w:qFormat w:val="on"/>
    <w:pPr>
      <w:spacing w:line="240" w:lineRule="auto"/>
    </w:pPr>
    <w:rPr>
      <w:b/>
      <w:bCs/>
      <w:color w:val="4f81bd" w:themeColor="accent1"/>
      <w:sz w:val="18"/>
      <w:szCs w:val="18"/>
    </w:rPr>
  </w:style>
  <w:style w:type="character" w:styleId="Strong">
    <w:name w:val="Strong"/>
    <w:basedOn w:val="DefaultParagraphFont"/>
    <w:uiPriority w:val="22"/>
    <w:qFormat w:val="on"/>
    <w:rPr>
      <w:b/>
      <w:bCs/>
    </w:rPr>
  </w:style>
  <w:style w:type="character" w:styleId="Emphasis">
    <w:name w:val="Emphasis"/>
    <w:basedOn w:val="DefaultParagraphFont"/>
    <w:uiPriority w:val="20"/>
    <w:qFormat w:val="on"/>
    <w:rPr>
      <w:i/>
      <w:iCs/>
    </w:rPr>
  </w:style>
  <w:style w:type="paragraph" w:styleId="IntenseQuote">
    <w:name w:val="Intense Quote"/>
    <w:basedOn w:val="Normal"/>
    <w:next w:val="Normal"/>
    <w:link w:val="IntenseQuoteChar"/>
    <w:uiPriority w:val="30"/>
    <w:qFormat w:val="on"/>
    <w:pPr>
      <w:pBdr>
        <w:bottom w:val="single" w:color="4f81bd" w:themeColor="accent1" w:sz="4" w:space="4"/>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val="on"/>
    <w:rPr>
      <w:i/>
      <w:iCs/>
      <w:color w:val="808080" w:themeColor="text1" w:themeTint="7f"/>
    </w:rPr>
  </w:style>
  <w:style w:type="character" w:styleId="IntenseEmphasis">
    <w:name w:val="Intense Emphasis"/>
    <w:basedOn w:val="DefaultParagraphFont"/>
    <w:uiPriority w:val="21"/>
    <w:qFormat w:val="on"/>
    <w:rPr>
      <w:b/>
      <w:bCs/>
      <w:i/>
      <w:iCs/>
      <w:color w:val="4f81bd" w:themeColor="accent1"/>
    </w:rPr>
  </w:style>
  <w:style w:type="character" w:styleId="SubtleReference">
    <w:name w:val="Subtle Reference"/>
    <w:basedOn w:val="DefaultParagraphFont"/>
    <w:uiPriority w:val="31"/>
    <w:qFormat w:val="on"/>
    <w:rPr>
      <w:smallCaps/>
      <w:color w:val="c0504d" w:themeColor="accent2"/>
      <w:u w:val="single"/>
    </w:rPr>
  </w:style>
  <w:style w:type="character" w:styleId="IntenseReference">
    <w:name w:val="Intense Reference"/>
    <w:basedOn w:val="DefaultParagraphFont"/>
    <w:uiPriority w:val="32"/>
    <w:qFormat w:val="on"/>
    <w:rPr>
      <w:b/>
      <w:bCs/>
      <w:smallCaps/>
      <w:color w:val="c0504d" w:themeColor="accent2"/>
      <w:spacing w:val="5"/>
      <w:u w:val="single"/>
    </w:rPr>
  </w:style>
  <w:style w:type="character" w:styleId="BookTitle">
    <w:name w:val="Book Title"/>
    <w:basedOn w:val="DefaultParagraphFont"/>
    <w:uiPriority w:val="33"/>
    <w:qFormat w:val="on"/>
    <w:rPr>
      <w:b/>
      <w:bCs/>
      <w:smallCaps/>
      <w:spacing w:val="5"/>
    </w:rPr>
  </w:style>
  <w:style w:type="paragraph" w:styleId="TOCHeading">
    <w:name w:val="TOC Heading"/>
    <w:basedOn w:val="Heading1"/>
    <w:next w:val="Normal"/>
    <w:uiPriority w:val="39"/>
    <w:semiHidden w:val="on"/>
    <w:unhideWhenUsed w:val="on"/>
    <w:qFormat w:val="on"/>
    <w:pPr/>
  </w:style>
  <w:style w:type="table" w:styleId="TableGrid">
    <w:name w:val="Table Grid"/>
    <w:basedOn w:val="NormalTable"/>
    <w:uiPriority w:val="59"/>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NormalTable"/>
    <w:uiPriority w:val="60"/>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000000" w:themeColor="text1" w:sz="8" w:space="0"/>
          <w:left w:val="nil" w:sz="4" w:space="0"/>
          <w:bottom w:val="single" w:color="000000" w:themeColor="text1"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left w:val="nil" w:sz="4" w:space="0"/>
          <w:right w:val="nil" w:sz="4" w:space="0"/>
          <w:insideH w:val="nil" w:sz="4" w:space="0"/>
          <w:insideV w:val="nil" w:sz="4" w:space="0"/>
        </w:tcBorders>
        <w:shd w:val="clear" w:color="auto" w:fill="c0c0c0" w:themeFill="text1" w:themeFillTint="3f"/>
      </w:tcPr>
    </w:tblStylePr>
  </w:style>
  <w:style w:type="table" w:styleId="LightShadingAccent1">
    <w:name w:val="Light Shading Accent 1"/>
    <w:basedOn w:val="NormalTable"/>
    <w:uiPriority w:val="60"/>
    <w:pPr>
      <w:spacing w:after="0" w:line="240" w:lineRule="auto"/>
    </w:pPr>
    <w:rPr>
      <w:color w:val="3760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f81bd" w:themeColor="accent1" w:sz="8" w:space="0"/>
          <w:left w:val="nil" w:sz="4" w:space="0"/>
          <w:bottom w:val="single" w:color="4f81bd" w:themeColor="accent1"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left w:val="nil" w:sz="4" w:space="0"/>
          <w:right w:val="nil" w:sz="4" w:space="0"/>
          <w:insideH w:val="nil" w:sz="4" w:space="0"/>
          <w:insideV w:val="nil" w:sz="4" w:space="0"/>
        </w:tcBorders>
        <w:shd w:val="clear" w:color="auto" w:fill="d3e0ef" w:themeFill="accent1" w:themeFillTint="3f"/>
      </w:tcPr>
    </w:tblStylePr>
  </w:style>
  <w:style w:type="table" w:styleId="LightShadingAccent2">
    <w:name w:val="Light Shading Accent 2"/>
    <w:basedOn w:val="NormalTable"/>
    <w:uiPriority w:val="60"/>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lastRow">
      <w:pPr>
        <w:spacing w:before="0" w:after="0" w:line="240" w:lineRule="auto"/>
      </w:pPr>
      <w:rPr>
        <w:b/>
        <w:bCs/>
      </w:rPr>
      <w:tblPr/>
      <w:tcPr>
        <w:tcBorders>
          <w:top w:val="single" w:color="c0504d" w:themeColor="accent2" w:sz="8" w:space="0"/>
          <w:left w:val="nil" w:sz="4" w:space="0"/>
          <w:bottom w:val="single" w:color="c0504d" w:themeColor="accent2"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left w:val="nil" w:sz="4" w:space="0"/>
          <w:right w:val="nil" w:sz="4" w:space="0"/>
          <w:insideH w:val="nil" w:sz="4" w:space="0"/>
          <w:insideV w:val="nil" w:sz="4" w:space="0"/>
        </w:tcBorders>
        <w:shd w:val="clear" w:color="auto" w:fill="efd4d3" w:themeFill="accent2" w:themeFillTint="3f"/>
      </w:tcPr>
    </w:tblStylePr>
  </w:style>
  <w:style w:type="table" w:styleId="LightShadingAccent3">
    <w:name w:val="Light Shading Accent 3"/>
    <w:basedOn w:val="NormalTable"/>
    <w:uiPriority w:val="60"/>
    <w:pPr>
      <w:spacing w:after="0" w:line="240" w:lineRule="auto"/>
    </w:pPr>
    <w:rPr>
      <w:color w:val="75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lastRow">
      <w:pPr>
        <w:spacing w:before="0" w:after="0" w:line="240" w:lineRule="auto"/>
      </w:pPr>
      <w:rPr>
        <w:b/>
        <w:bCs/>
      </w:rPr>
      <w:tblPr/>
      <w:tcPr>
        <w:tcBorders>
          <w:top w:val="single" w:color="9bbb59" w:themeColor="accent3" w:sz="8" w:space="0"/>
          <w:left w:val="nil" w:sz="4" w:space="0"/>
          <w:bottom w:val="single" w:color="9bbb59" w:themeColor="accent3"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left w:val="nil" w:sz="4" w:space="0"/>
          <w:right w:val="nil" w:sz="4" w:space="0"/>
          <w:insideH w:val="nil" w:sz="4" w:space="0"/>
          <w:insideV w:val="nil" w:sz="4" w:space="0"/>
        </w:tcBorders>
        <w:shd w:val="clear" w:color="auto" w:fill="e6eed6" w:themeFill="accent3" w:themeFillTint="3f"/>
      </w:tcPr>
    </w:tblStylePr>
  </w:style>
  <w:style w:type="table" w:styleId="LightShadingAccent4">
    <w:name w:val="Light Shading Accent 4"/>
    <w:basedOn w:val="NormalTable"/>
    <w:uiPriority w:val="60"/>
    <w:pPr>
      <w:spacing w:after="0" w:line="240" w:lineRule="auto"/>
    </w:pPr>
    <w:rPr>
      <w:color w:val="60497b"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lastRow">
      <w:pPr>
        <w:spacing w:before="0" w:after="0" w:line="240" w:lineRule="auto"/>
      </w:pPr>
      <w:rPr>
        <w:b/>
        <w:bCs/>
      </w:rPr>
      <w:tblPr/>
      <w:tcPr>
        <w:tcBorders>
          <w:top w:val="single" w:color="8064a2" w:themeColor="accent4" w:sz="8" w:space="0"/>
          <w:left w:val="nil" w:sz="4" w:space="0"/>
          <w:bottom w:val="single" w:color="8064a2" w:themeColor="accent4"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left w:val="nil" w:sz="4" w:space="0"/>
          <w:right w:val="nil" w:sz="4" w:space="0"/>
          <w:insideH w:val="nil" w:sz="4" w:space="0"/>
          <w:insideV w:val="nil" w:sz="4" w:space="0"/>
        </w:tcBorders>
        <w:shd w:val="clear" w:color="auto" w:fill="dfd8e8" w:themeFill="accent4" w:themeFillTint="3f"/>
      </w:tcPr>
    </w:tblStylePr>
  </w:style>
  <w:style w:type="table" w:styleId="LightShadingAccent5">
    <w:name w:val="Light Shading Accent 5"/>
    <w:basedOn w:val="NormalTable"/>
    <w:uiPriority w:val="60"/>
    <w:pPr>
      <w:spacing w:after="0" w:line="240" w:lineRule="auto"/>
    </w:pPr>
    <w:rPr>
      <w:color w:val="318399"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lastRow">
      <w:pPr>
        <w:spacing w:before="0" w:after="0" w:line="240" w:lineRule="auto"/>
      </w:pPr>
      <w:rPr>
        <w:b/>
        <w:bCs/>
      </w:rPr>
      <w:tblPr/>
      <w:tcPr>
        <w:tcBorders>
          <w:top w:val="single" w:color="4bacc6" w:themeColor="accent5" w:sz="8" w:space="0"/>
          <w:left w:val="nil" w:sz="4" w:space="0"/>
          <w:bottom w:val="single" w:color="4bacc6" w:themeColor="accent5"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left w:val="nil" w:sz="4" w:space="0"/>
          <w:right w:val="nil" w:sz="4" w:space="0"/>
          <w:insideH w:val="nil" w:sz="4" w:space="0"/>
          <w:insideV w:val="nil" w:sz="4" w:space="0"/>
        </w:tcBorders>
        <w:shd w:val="clear" w:color="auto" w:fill="d1eaf1" w:themeFill="accent5" w:themeFillTint="3f"/>
      </w:tcPr>
    </w:tblStylePr>
  </w:style>
  <w:style w:type="table" w:styleId="LightShadingAccent6">
    <w:name w:val="Light Shading Accent 6"/>
    <w:basedOn w:val="NormalTable"/>
    <w:uiPriority w:val="60"/>
    <w:pPr>
      <w:spacing w:after="0" w:line="240" w:lineRule="auto"/>
    </w:pPr>
    <w:rPr>
      <w:color w:val="e2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lastRow">
      <w:pPr>
        <w:spacing w:before="0" w:after="0" w:line="240" w:lineRule="auto"/>
      </w:pPr>
      <w:rPr>
        <w:b/>
        <w:bCs/>
      </w:rPr>
      <w:tblPr/>
      <w:tcPr>
        <w:tcBorders>
          <w:top w:val="single" w:color="f79646" w:themeColor="accent6" w:sz="8" w:space="0"/>
          <w:left w:val="nil" w:sz="4" w:space="0"/>
          <w:bottom w:val="single" w:color="f79646" w:themeColor="accent6" w:sz="8" w:space="0"/>
          <w:right w:val="nil" w:sz="4" w:space="0"/>
          <w:insideH w:val="nil" w:sz="4" w:space="0"/>
          <w:insideV w:val="nil" w:sz="4" w:space="0"/>
        </w:tcBorders>
      </w:tcPr>
    </w:tblStylePr>
    <w:tblStylePr w:type="firstCol">
      <w:rPr>
        <w:b/>
        <w:bCs/>
      </w:rPr>
    </w:tblStylePr>
    <w:tblStylePr w:type="lastCol">
      <w:rPr>
        <w:b/>
        <w:bCs/>
      </w:r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left w:val="nil" w:sz="4" w:space="0"/>
          <w:right w:val="nil" w:sz="4" w:space="0"/>
          <w:insideH w:val="nil" w:sz="4" w:space="0"/>
          <w:insideV w:val="nil" w:sz="4" w:space="0"/>
        </w:tcBorders>
        <w:shd w:val="clear" w:color="auto" w:fill="fde5d1" w:themeFill="accent6" w:themeFillTint="3f"/>
      </w:tcPr>
    </w:tblStylePr>
  </w:style>
  <w:style w:type="table" w:styleId="LightList">
    <w:name w:val="Light List"/>
    <w:basedOn w:val="NormalTable"/>
    <w:uiPriority w:val="61"/>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NormalTable"/>
    <w:uiPriority w:val="61"/>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NormalTable"/>
    <w:uiPriority w:val="61"/>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NormalTable"/>
    <w:uiPriority w:val="61"/>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NormalTable"/>
    <w:uiPriority w:val="61"/>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NormalTable"/>
    <w:uiPriority w:val="61"/>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NormalTable"/>
    <w:uiPriority w:val="61"/>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NormalTable"/>
    <w:uiPriority w:val="62"/>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sz="4" w:space="0"/>
          <w:insideV w:val="single" w:color="000000" w:themeColor="text1"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sz="4" w:space="0"/>
          <w:insideV w:val="single" w:color="000000" w:themeColor="text1"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NormalTable"/>
    <w:uiPriority w:val="62"/>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sz="4" w:space="0"/>
          <w:insideV w:val="single" w:color="4f81bd" w:themeColor="accent1"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sz="4" w:space="0"/>
          <w:insideV w:val="single" w:color="4f81bd" w:themeColor="accent1"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e0ef"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e0ef"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NormalTable"/>
    <w:uiPriority w:val="62"/>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sz="4" w:space="0"/>
          <w:insideV w:val="single" w:color="c0504d" w:themeColor="accent2"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sz="4" w:space="0"/>
          <w:insideV w:val="single" w:color="c0504d" w:themeColor="accent2"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4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4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NormalTable"/>
    <w:uiPriority w:val="62"/>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sz="4" w:space="0"/>
          <w:insideV w:val="single" w:color="9bbb59" w:themeColor="accent3"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sz="4" w:space="0"/>
          <w:insideV w:val="single" w:color="9bbb59" w:themeColor="accent3"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6"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6"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NormalTable"/>
    <w:uiPriority w:val="62"/>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sz="4" w:space="0"/>
          <w:insideV w:val="single" w:color="8064a2" w:themeColor="accent4"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sz="4" w:space="0"/>
          <w:insideV w:val="single" w:color="8064a2" w:themeColor="accent4"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NormalTable"/>
    <w:uiPriority w:val="62"/>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sz="4" w:space="0"/>
          <w:insideV w:val="single" w:color="4bacc6" w:themeColor="accent5"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sz="4" w:space="0"/>
          <w:insideV w:val="single" w:color="4bacc6" w:themeColor="accent5"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1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1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NormalTable"/>
    <w:uiPriority w:val="62"/>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cstheme="majorBidi" w:eastAsiaTheme="majorEastAsia" w:hAnsiTheme="majorHAns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sz="4" w:space="0"/>
          <w:insideV w:val="single" w:color="f79646" w:themeColor="accent6" w:sz="8" w:space="0"/>
        </w:tcBorders>
      </w:tcPr>
    </w:tblStylePr>
    <w:tblStylePr w:type="lastRow">
      <w:pPr>
        <w:spacing w:before="0" w:after="0" w:line="240" w:lineRule="auto"/>
      </w:pPr>
      <w:rPr>
        <w:rFonts w:asciiTheme="majorHAnsi" w:cstheme="majorBidi" w:eastAsiaTheme="majorEastAsia" w:hAnsiTheme="majorHAns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sz="4" w:space="0"/>
          <w:insideV w:val="single" w:color="f79646" w:themeColor="accent6" w:sz="8" w:space="0"/>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NormalTable"/>
    <w:uiPriority w:val="63"/>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sz="4" w:space="0"/>
          <w:insideV w:val="nil" w:sz="4" w:space="0"/>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sz="4" w:space="0"/>
          <w:insideV w:val="nil" w:sz="4" w:space="0"/>
        </w:tcBorders>
        <w:shd w:val="clear" w:color="auto" w:fill="c0c0c0" w:themeFill="text1" w:themeFillTint="3f"/>
      </w:tcPr>
    </w:tblStylePr>
    <w:tblStylePr w:type="band2Horz">
      <w:tblPr/>
      <w:tcPr>
        <w:tcBorders>
          <w:insideH w:val="nil" w:sz="4" w:space="0"/>
          <w:insideV w:val="nil" w:sz="4" w:space="0"/>
        </w:tcBorders>
      </w:tcPr>
    </w:tblStylePr>
  </w:style>
  <w:style w:type="table" w:styleId="MediumShading1Accent1">
    <w:name w:val="Medium Shading 1 Accent 1"/>
    <w:basedOn w:val="NormalTable"/>
    <w:uiPriority w:val="63"/>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sz="4" w:space="0"/>
          <w:insideV w:val="nil" w:sz="4" w:space="0"/>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3e0ef" w:themeFill="accent1" w:themeFillTint="3f"/>
      </w:tcPr>
    </w:tblStylePr>
    <w:tblStylePr w:type="band1Horz">
      <w:tblPr/>
      <w:tcPr>
        <w:tcBorders>
          <w:insideH w:val="nil" w:sz="4" w:space="0"/>
          <w:insideV w:val="nil" w:sz="4" w:space="0"/>
        </w:tcBorders>
        <w:shd w:val="clear" w:color="auto" w:fill="d3e0ef" w:themeFill="accent1" w:themeFillTint="3f"/>
      </w:tcPr>
    </w:tblStylePr>
    <w:tblStylePr w:type="band2Horz">
      <w:tblPr/>
      <w:tcPr>
        <w:tcBorders>
          <w:insideH w:val="nil" w:sz="4" w:space="0"/>
          <w:insideV w:val="nil" w:sz="4" w:space="0"/>
        </w:tcBorders>
      </w:tcPr>
    </w:tblStylePr>
  </w:style>
  <w:style w:type="table" w:styleId="MediumShading1Accent2">
    <w:name w:val="Medium Shading 1 Accent 2"/>
    <w:basedOn w:val="NormalTable"/>
    <w:uiPriority w:val="63"/>
    <w:pPr>
      <w:spacing w:after="0" w:line="240" w:lineRule="auto"/>
    </w:pPr>
    <w:tblPr>
      <w:tblStyleRowBandSize w:val="1"/>
      <w:tblStyleColBandSize w:val="1"/>
      <w:tblInd w:w="0" w:type="dxa"/>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nil" w:sz="4" w:space="0"/>
          <w:insideV w:val="nil" w:sz="4" w:space="0"/>
        </w:tcBorders>
        <w:shd w:val="clear" w:color="auto" w:fill="c0504d" w:themeFill="accent2"/>
      </w:tcPr>
    </w:tblStylePr>
    <w:tblStylePr w:type="lastRow">
      <w:pPr>
        <w:spacing w:before="0" w:after="0" w:line="240" w:lineRule="auto"/>
      </w:pPr>
      <w:rPr>
        <w:b/>
        <w:bCs/>
      </w:rPr>
      <w:tblPr/>
      <w:tcPr>
        <w:tcBorders>
          <w:top w:val="double" w:color="d07a78" w:themeColor="accent2" w:themeTint="bf" w:sz="6" w:space="0"/>
          <w:left w:val="single" w:color="d07a78" w:themeColor="accent2" w:themeTint="bf" w:sz="8" w:space="0"/>
          <w:bottom w:val="single" w:color="d07a78" w:themeColor="accent2" w:themeTint="bf" w:sz="8" w:space="0"/>
          <w:right w:val="single" w:color="d07a78" w:themeColor="accent2"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efd4d3" w:themeFill="accent2" w:themeFillTint="3f"/>
      </w:tcPr>
    </w:tblStylePr>
    <w:tblStylePr w:type="band1Horz">
      <w:tblPr/>
      <w:tcPr>
        <w:tcBorders>
          <w:insideH w:val="nil" w:sz="4" w:space="0"/>
          <w:insideV w:val="nil" w:sz="4" w:space="0"/>
        </w:tcBorders>
        <w:shd w:val="clear" w:color="auto" w:fill="efd4d3" w:themeFill="accent2" w:themeFillTint="3f"/>
      </w:tcPr>
    </w:tblStylePr>
    <w:tblStylePr w:type="band2Horz">
      <w:tblPr/>
      <w:tcPr>
        <w:tcBorders>
          <w:insideH w:val="nil" w:sz="4" w:space="0"/>
          <w:insideV w:val="nil" w:sz="4" w:space="0"/>
        </w:tcBorders>
      </w:tcPr>
    </w:tblStylePr>
  </w:style>
  <w:style w:type="table" w:styleId="MediumShading1Accent3">
    <w:name w:val="Medium Shading 1 Accent 3"/>
    <w:basedOn w:val="NormalTable"/>
    <w:uiPriority w:val="63"/>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sz="4" w:space="0"/>
          <w:insideV w:val="nil" w:sz="4" w:space="0"/>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e6eed6" w:themeFill="accent3" w:themeFillTint="3f"/>
      </w:tcPr>
    </w:tblStylePr>
    <w:tblStylePr w:type="band1Horz">
      <w:tblPr/>
      <w:tcPr>
        <w:tcBorders>
          <w:insideH w:val="nil" w:sz="4" w:space="0"/>
          <w:insideV w:val="nil" w:sz="4" w:space="0"/>
        </w:tcBorders>
        <w:shd w:val="clear" w:color="auto" w:fill="e6eed6" w:themeFill="accent3" w:themeFillTint="3f"/>
      </w:tcPr>
    </w:tblStylePr>
    <w:tblStylePr w:type="band2Horz">
      <w:tblPr/>
      <w:tcPr>
        <w:tcBorders>
          <w:insideH w:val="nil" w:sz="4" w:space="0"/>
          <w:insideV w:val="nil" w:sz="4" w:space="0"/>
        </w:tcBorders>
      </w:tcPr>
    </w:tblStylePr>
  </w:style>
  <w:style w:type="table" w:styleId="MediumShading1Accent4">
    <w:name w:val="Medium Shading 1 Accent 4"/>
    <w:basedOn w:val="NormalTable"/>
    <w:uiPriority w:val="63"/>
    <w:pPr>
      <w:spacing w:after="0" w:line="240" w:lineRule="auto"/>
    </w:pPr>
    <w:tblPr>
      <w:tblStyleRowBandSize w:val="1"/>
      <w:tblStyleColBandSize w:val="1"/>
      <w:tblInd w:w="0" w:type="dxa"/>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nil" w:sz="4" w:space="0"/>
          <w:insideV w:val="nil" w:sz="4" w:space="0"/>
        </w:tcBorders>
        <w:shd w:val="clear" w:color="auto" w:fill="8064a2" w:themeFill="accent4"/>
      </w:tcPr>
    </w:tblStylePr>
    <w:tblStylePr w:type="lastRow">
      <w:pPr>
        <w:spacing w:before="0" w:after="0" w:line="240" w:lineRule="auto"/>
      </w:pPr>
      <w:rPr>
        <w:b/>
        <w:bCs/>
      </w:rPr>
      <w:tblPr/>
      <w:tcPr>
        <w:tcBorders>
          <w:top w:val="double" w:color="a08bb9" w:themeColor="accent4" w:themeTint="bf" w:sz="6" w:space="0"/>
          <w:left w:val="single" w:color="a08bb9" w:themeColor="accent4" w:themeTint="bf" w:sz="8" w:space="0"/>
          <w:bottom w:val="single" w:color="a08bb9" w:themeColor="accent4" w:themeTint="bf" w:sz="8" w:space="0"/>
          <w:right w:val="single" w:color="a08bb9" w:themeColor="accent4"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sz="4" w:space="0"/>
          <w:insideV w:val="nil" w:sz="4" w:space="0"/>
        </w:tcBorders>
        <w:shd w:val="clear" w:color="auto" w:fill="dfd8e8" w:themeFill="accent4" w:themeFillTint="3f"/>
      </w:tcPr>
    </w:tblStylePr>
    <w:tblStylePr w:type="band2Horz">
      <w:tblPr/>
      <w:tcPr>
        <w:tcBorders>
          <w:insideH w:val="nil" w:sz="4" w:space="0"/>
          <w:insideV w:val="nil" w:sz="4" w:space="0"/>
        </w:tcBorders>
      </w:tcPr>
    </w:tblStylePr>
  </w:style>
  <w:style w:type="table" w:styleId="MediumShading1Accent5">
    <w:name w:val="Medium Shading 1 Accent 5"/>
    <w:basedOn w:val="NormalTable"/>
    <w:uiPriority w:val="63"/>
    <w:pPr>
      <w:spacing w:after="0" w:line="240" w:lineRule="auto"/>
    </w:pPr>
    <w:tblPr>
      <w:tblStyleRowBandSize w:val="1"/>
      <w:tblStyleColBandSize w:val="1"/>
      <w:tblInd w:w="0" w:type="dxa"/>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nil" w:sz="4" w:space="0"/>
          <w:insideV w:val="nil" w:sz="4" w:space="0"/>
        </w:tcBorders>
        <w:shd w:val="clear" w:color="auto" w:fill="4bacc6" w:themeFill="accent5"/>
      </w:tcPr>
    </w:tblStylePr>
    <w:tblStylePr w:type="lastRow">
      <w:pPr>
        <w:spacing w:before="0" w:after="0" w:line="240" w:lineRule="auto"/>
      </w:pPr>
      <w:rPr>
        <w:b/>
        <w:bCs/>
      </w:rPr>
      <w:tblPr/>
      <w:tcPr>
        <w:tcBorders>
          <w:top w:val="double" w:color="76c0d4" w:themeColor="accent5" w:themeTint="bf" w:sz="6" w:space="0"/>
          <w:left w:val="single" w:color="76c0d4" w:themeColor="accent5" w:themeTint="bf" w:sz="8" w:space="0"/>
          <w:bottom w:val="single" w:color="76c0d4" w:themeColor="accent5" w:themeTint="bf" w:sz="8" w:space="0"/>
          <w:right w:val="single" w:color="76c0d4" w:themeColor="accent5"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d1eaf1" w:themeFill="accent5" w:themeFillTint="3f"/>
      </w:tcPr>
    </w:tblStylePr>
    <w:tblStylePr w:type="band1Horz">
      <w:tblPr/>
      <w:tcPr>
        <w:tcBorders>
          <w:insideH w:val="nil" w:sz="4" w:space="0"/>
          <w:insideV w:val="nil" w:sz="4" w:space="0"/>
        </w:tcBorders>
        <w:shd w:val="clear" w:color="auto" w:fill="d1eaf1" w:themeFill="accent5" w:themeFillTint="3f"/>
      </w:tcPr>
    </w:tblStylePr>
    <w:tblStylePr w:type="band2Horz">
      <w:tblPr/>
      <w:tcPr>
        <w:tcBorders>
          <w:insideH w:val="nil" w:sz="4" w:space="0"/>
          <w:insideV w:val="nil" w:sz="4" w:space="0"/>
        </w:tcBorders>
      </w:tcPr>
    </w:tblStylePr>
  </w:style>
  <w:style w:type="table" w:styleId="MediumShading1Accent6">
    <w:name w:val="Medium Shading 1 Accent 6"/>
    <w:basedOn w:val="NormalTable"/>
    <w:uiPriority w:val="63"/>
    <w:pPr>
      <w:spacing w:after="0" w:line="240" w:lineRule="auto"/>
    </w:pPr>
    <w:tblPr>
      <w:tblStyleRowBandSize w:val="1"/>
      <w:tblStyleColBandSize w:val="1"/>
      <w:tblInd w:w="0" w:type="dxa"/>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nil" w:sz="4" w:space="0"/>
          <w:insideV w:val="nil" w:sz="4" w:space="0"/>
        </w:tcBorders>
        <w:shd w:val="clear" w:color="auto" w:fill="f79646" w:themeFill="accent6"/>
      </w:tcPr>
    </w:tblStylePr>
    <w:tblStylePr w:type="lastRow">
      <w:pPr>
        <w:spacing w:before="0" w:after="0" w:line="240" w:lineRule="auto"/>
      </w:pPr>
      <w:rPr>
        <w:b/>
        <w:bCs/>
      </w:rPr>
      <w:tblPr/>
      <w:tcPr>
        <w:tcBorders>
          <w:top w:val="double" w:color="f9b073" w:themeColor="accent6" w:themeTint="bf" w:sz="6" w:space="0"/>
          <w:left w:val="single" w:color="f9b073" w:themeColor="accent6" w:themeTint="bf" w:sz="8" w:space="0"/>
          <w:bottom w:val="single" w:color="f9b073" w:themeColor="accent6" w:themeTint="bf" w:sz="8" w:space="0"/>
          <w:right w:val="single" w:color="f9b073" w:themeColor="accent6" w:themeTint="bf" w:sz="8" w:space="0"/>
          <w:insideH w:val="nil" w:sz="4" w:space="0"/>
          <w:insideV w:val="nil" w:sz="4" w:space="0"/>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sz="4" w:space="0"/>
          <w:insideV w:val="nil" w:sz="4" w:space="0"/>
        </w:tcBorders>
        <w:shd w:val="clear" w:color="auto" w:fill="fde5d1" w:themeFill="accent6" w:themeFillTint="3f"/>
      </w:tcPr>
    </w:tblStylePr>
    <w:tblStylePr w:type="band2Horz">
      <w:tblPr/>
      <w:tcPr>
        <w:tcBorders>
          <w:insideH w:val="nil" w:sz="4" w:space="0"/>
          <w:insideV w:val="nil" w:sz="4" w:space="0"/>
        </w:tcBorders>
      </w:tcPr>
    </w:tblStylePr>
  </w:style>
  <w:style w:type="table" w:styleId="MediumShading2">
    <w:name w:val="Medium Shading 2"/>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000000" w:themeFill="text1"/>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000000" w:themeFill="tex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000000" w:themeFill="tex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1">
    <w:name w:val="Medium Shading 2 Accent 1"/>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f81bd" w:themeFill="accent1"/>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f81bd" w:themeFill="accent1"/>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f81bd" w:themeFill="accent1"/>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2">
    <w:name w:val="Medium Shading 2 Accent 2"/>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c0504d" w:themeFill="accent2"/>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c0504d" w:themeFill="accent2"/>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c0504d" w:themeFill="accent2"/>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3">
    <w:name w:val="Medium Shading 2 Accent 3"/>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9bbb59" w:themeFill="accent3"/>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9bbb59" w:themeFill="accent3"/>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9bbb59" w:themeFill="accent3"/>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4">
    <w:name w:val="Medium Shading 2 Accent 4"/>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8064a2" w:themeFill="accent4"/>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8064a2" w:themeFill="accent4"/>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8064a2" w:themeFill="accent4"/>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5">
    <w:name w:val="Medium Shading 2 Accent 5"/>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4bacc6" w:themeFill="accent5"/>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4bacc6" w:themeFill="accent5"/>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4bacc6" w:themeFill="accent5"/>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Shading2Accent6">
    <w:name w:val="Medium Shading 2 Accent 6"/>
    <w:basedOn w:val="NormalTable"/>
    <w:uiPriority w:val="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shd w:val="clear" w:color="auto" w:fill="f79646" w:themeFill="accent6"/>
      </w:tcPr>
    </w:tblStylePr>
    <w:tblStylePr w:type="lastRow">
      <w:pPr>
        <w:spacing w:before="0" w:after="0" w:line="240" w:lineRule="auto"/>
      </w:pPr>
      <w:rPr>
        <w:color w:val="auto"/>
      </w:rPr>
      <w:tblPr/>
      <w:tcPr>
        <w:tcBorders>
          <w:top w:val="double" w:color="auto" w:sz="6" w:space="0"/>
          <w:left w:val="nil" w:sz="4" w:space="0"/>
          <w:bottom w:val="single" w:color="auto" w:sz="18" w:space="0"/>
          <w:right w:val="nil" w:sz="4" w:space="0"/>
          <w:insideH w:val="nil" w:sz="4" w:space="0"/>
          <w:insideV w:val="nil" w:sz="4" w:space="0"/>
        </w:tcBorders>
        <w:shd w:val="clear" w:color="auto" w:fill="ffffff" w:themeFill="background1"/>
      </w:tcPr>
    </w:tblStylePr>
    <w:tblStylePr w:type="firstCol">
      <w:rPr>
        <w:b/>
        <w:bCs/>
        <w:color w:val="ffffff" w:themeColor="background1"/>
      </w:rPr>
      <w:tblPr/>
      <w:tcPr>
        <w:tcBorders>
          <w:top w:val="nil" w:sz="4" w:space="0"/>
          <w:left w:val="nil" w:sz="4" w:space="0"/>
          <w:bottom w:val="single" w:color="auto" w:sz="18" w:space="0"/>
          <w:right w:val="nil" w:sz="4" w:space="0"/>
          <w:insideH w:val="nil" w:sz="4" w:space="0"/>
          <w:insideV w:val="nil" w:sz="4" w:space="0"/>
        </w:tcBorders>
        <w:shd w:val="clear" w:color="auto" w:fill="f79646" w:themeFill="accent6"/>
      </w:tcPr>
    </w:tblStylePr>
    <w:tblStylePr w:type="lastCol">
      <w:rPr>
        <w:b/>
        <w:bCs/>
        <w:color w:val="ffffff" w:themeColor="background1"/>
      </w:rPr>
      <w:tblPr/>
      <w:tcPr>
        <w:tcBorders>
          <w:left w:val="nil" w:sz="4" w:space="0"/>
          <w:right w:val="nil" w:sz="4" w:space="0"/>
          <w:insideH w:val="nil" w:sz="4" w:space="0"/>
          <w:insideV w:val="nil" w:sz="4" w:space="0"/>
        </w:tcBorders>
        <w:shd w:val="clear" w:color="auto" w:fill="f79646" w:themeFill="accent6"/>
      </w:tcPr>
    </w:tblStylePr>
    <w:tblStylePr w:type="band1Vert">
      <w:tblPr/>
      <w:tcPr>
        <w:tcBorders>
          <w:left w:val="nil" w:sz="4" w:space="0"/>
          <w:right w:val="nil" w:sz="4" w:space="0"/>
          <w:insideH w:val="nil" w:sz="4" w:space="0"/>
          <w:insideV w:val="nil" w:sz="4" w:space="0"/>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sz="4" w:space="0"/>
          <w:bottom w:val="single" w:color="auto" w:sz="18" w:space="0"/>
          <w:right w:val="nil" w:sz="4" w:space="0"/>
          <w:insideH w:val="nil" w:sz="4" w:space="0"/>
          <w:insideV w:val="nil" w:sz="4" w:space="0"/>
        </w:tcBorders>
      </w:tcPr>
    </w:tblStylePr>
    <w:tblStylePr w:type="nwCell">
      <w:rPr>
        <w:color w:val="ffffff" w:themeColor="background1"/>
      </w:rPr>
      <w:tblPr/>
      <w:tcPr>
        <w:tcBorders>
          <w:top w:val="single" w:color="auto" w:sz="18" w:space="0"/>
          <w:left w:val="nil" w:sz="4" w:space="0"/>
          <w:bottom w:val="single" w:color="auto" w:sz="18" w:space="0"/>
          <w:right w:val="nil" w:sz="4" w:space="0"/>
          <w:insideH w:val="nil" w:sz="4" w:space="0"/>
          <w:insideV w:val="nil" w:sz="4" w:space="0"/>
        </w:tcBorders>
      </w:tcPr>
    </w:tblStylePr>
  </w:style>
  <w:style w:type="table" w:styleId="MediumList1">
    <w:name w:val="Medium List 1"/>
    <w:basedOn w:val="NormalTable"/>
    <w:uiPriority w:val="65"/>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NormalTable"/>
    <w:uiPriority w:val="65"/>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e0ef" w:themeFill="accent1" w:themeFillTint="3f"/>
      </w:tcPr>
    </w:tblStylePr>
    <w:tblStylePr w:type="band1Horz">
      <w:tblPr/>
      <w:tcPr>
        <w:shd w:val="clear" w:color="auto" w:fill="d3e0ef" w:themeFill="accent1" w:themeFillTint="3f"/>
      </w:tcPr>
    </w:tblStylePr>
  </w:style>
  <w:style w:type="table" w:styleId="MediumList1Accent2">
    <w:name w:val="Medium List 1 Accent 2"/>
    <w:basedOn w:val="NormalTable"/>
    <w:uiPriority w:val="65"/>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4d3" w:themeFill="accent2" w:themeFillTint="3f"/>
      </w:tcPr>
    </w:tblStylePr>
    <w:tblStylePr w:type="band1Horz">
      <w:tblPr/>
      <w:tcPr>
        <w:shd w:val="clear" w:color="auto" w:fill="efd4d3" w:themeFill="accent2" w:themeFillTint="3f"/>
      </w:tcPr>
    </w:tblStylePr>
  </w:style>
  <w:style w:type="table" w:styleId="MediumList1Accent3">
    <w:name w:val="Medium List 1 Accent 3"/>
    <w:basedOn w:val="NormalTable"/>
    <w:uiPriority w:val="65"/>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6" w:themeFill="accent3" w:themeFillTint="3f"/>
      </w:tcPr>
    </w:tblStylePr>
    <w:tblStylePr w:type="band1Horz">
      <w:tblPr/>
      <w:tcPr>
        <w:shd w:val="clear" w:color="auto" w:fill="e6eed6" w:themeFill="accent3" w:themeFillTint="3f"/>
      </w:tcPr>
    </w:tblStylePr>
  </w:style>
  <w:style w:type="table" w:styleId="MediumList1Accent4">
    <w:name w:val="Medium List 1 Accent 4"/>
    <w:basedOn w:val="NormalTable"/>
    <w:uiPriority w:val="65"/>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NormalTable"/>
    <w:uiPriority w:val="65"/>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1eaf1" w:themeFill="accent5" w:themeFillTint="3f"/>
      </w:tcPr>
    </w:tblStylePr>
    <w:tblStylePr w:type="band1Horz">
      <w:tblPr/>
      <w:tcPr>
        <w:shd w:val="clear" w:color="auto" w:fill="d1eaf1" w:themeFill="accent5" w:themeFillTint="3f"/>
      </w:tcPr>
    </w:tblStylePr>
  </w:style>
  <w:style w:type="table" w:styleId="MediumList1Accent6">
    <w:name w:val="Medium List 1 Accent 6"/>
    <w:basedOn w:val="NormalTable"/>
    <w:uiPriority w:val="65"/>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cstheme="majorBidi" w:eastAsiaTheme="majorEastAsia" w:hAnsiTheme="majorHAnsi"/>
      </w:rPr>
      <w:tblPr/>
      <w:tcPr>
        <w:tcBorders>
          <w:top w:val="nil" w:sz="4" w:space="0"/>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MediumList2">
    <w:name w:val="Medium List 2"/>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000000" w:themeColor="text1" w:sz="24" w:space="0"/>
          <w:right w:val="nil" w:sz="4" w:space="0"/>
          <w:insideH w:val="nil" w:sz="4" w:space="0"/>
          <w:insideV w:val="nil" w:sz="4" w:space="0"/>
        </w:tcBorders>
        <w:shd w:val="clear" w:color="auto" w:fill="ffffff" w:themeFill="background1"/>
      </w:tcPr>
    </w:tblStylePr>
    <w:tblStylePr w:type="lastRow">
      <w:tblPr/>
      <w:tcPr>
        <w:tcBorders>
          <w:top w:val="single" w:color="000000" w:themeColor="tex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000000" w:themeColor="text1" w:sz="8" w:space="0"/>
          <w:insideH w:val="nil" w:sz="4" w:space="0"/>
          <w:insideV w:val="nil" w:sz="4" w:space="0"/>
        </w:tcBorders>
        <w:shd w:val="clear" w:color="auto" w:fill="ffffff" w:themeFill="background1"/>
      </w:tcPr>
    </w:tblStylePr>
    <w:tblStylePr w:type="lastCol">
      <w:tblPr/>
      <w:tcPr>
        <w:tcBorders>
          <w:top w:val="nil" w:sz="4" w:space="0"/>
          <w:left w:val="single" w:color="000000" w:themeColor="tex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c0c0c0" w:themeFill="text1" w:themeFillTint="3f"/>
      </w:tcPr>
    </w:tblStylePr>
    <w:tblStylePr w:type="band1Horz">
      <w:tblPr/>
      <w:tcPr>
        <w:tcBorders>
          <w:top w:val="nil" w:sz="4" w:space="0"/>
          <w:bottom w:val="nil" w:sz="4" w:space="0"/>
          <w:insideH w:val="nil" w:sz="4" w:space="0"/>
          <w:insideV w:val="nil" w:sz="4" w:space="0"/>
        </w:tcBorders>
        <w:shd w:val="clear" w:color="auto" w:fill="c0c0c0" w:themeFill="tex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1">
    <w:name w:val="Medium List 2 Accent 1"/>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4f81bd" w:themeColor="accent1" w:sz="24" w:space="0"/>
          <w:right w:val="nil" w:sz="4" w:space="0"/>
          <w:insideH w:val="nil" w:sz="4" w:space="0"/>
          <w:insideV w:val="nil" w:sz="4" w:space="0"/>
        </w:tcBorders>
        <w:shd w:val="clear" w:color="auto" w:fill="ffffff" w:themeFill="background1"/>
      </w:tcPr>
    </w:tblStylePr>
    <w:tblStylePr w:type="lastRow">
      <w:tblPr/>
      <w:tcPr>
        <w:tcBorders>
          <w:top w:val="single" w:color="4f81bd" w:themeColor="accent1"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f81bd" w:themeColor="accent1" w:sz="8" w:space="0"/>
          <w:insideH w:val="nil" w:sz="4" w:space="0"/>
          <w:insideV w:val="nil" w:sz="4" w:space="0"/>
        </w:tcBorders>
        <w:shd w:val="clear" w:color="auto" w:fill="ffffff" w:themeFill="background1"/>
      </w:tcPr>
    </w:tblStylePr>
    <w:tblStylePr w:type="lastCol">
      <w:tblPr/>
      <w:tcPr>
        <w:tcBorders>
          <w:top w:val="nil" w:sz="4" w:space="0"/>
          <w:left w:val="single" w:color="4f81bd" w:themeColor="accent1"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3e0ef" w:themeFill="accent1" w:themeFillTint="3f"/>
      </w:tcPr>
    </w:tblStylePr>
    <w:tblStylePr w:type="band1Horz">
      <w:tblPr/>
      <w:tcPr>
        <w:tcBorders>
          <w:top w:val="nil" w:sz="4" w:space="0"/>
          <w:bottom w:val="nil" w:sz="4" w:space="0"/>
          <w:insideH w:val="nil" w:sz="4" w:space="0"/>
          <w:insideV w:val="nil" w:sz="4" w:space="0"/>
        </w:tcBorders>
        <w:shd w:val="clear" w:color="auto" w:fill="d3e0ef" w:themeFill="accent1"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2">
    <w:name w:val="Medium List 2 Accent 2"/>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tblPr/>
      <w:tcPr>
        <w:tcBorders>
          <w:top w:val="single" w:color="c0504d" w:themeColor="accent2"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c0504d" w:themeColor="accent2" w:sz="8" w:space="0"/>
          <w:insideH w:val="nil" w:sz="4" w:space="0"/>
          <w:insideV w:val="nil" w:sz="4" w:space="0"/>
        </w:tcBorders>
        <w:shd w:val="clear" w:color="auto" w:fill="ffffff" w:themeFill="background1"/>
      </w:tcPr>
    </w:tblStylePr>
    <w:tblStylePr w:type="lastCol">
      <w:tblPr/>
      <w:tcPr>
        <w:tcBorders>
          <w:top w:val="nil" w:sz="4" w:space="0"/>
          <w:left w:val="single" w:color="c0504d" w:themeColor="accent2"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fd4d3" w:themeFill="accent2" w:themeFillTint="3f"/>
      </w:tcPr>
    </w:tblStylePr>
    <w:tblStylePr w:type="band1Horz">
      <w:tblPr/>
      <w:tcPr>
        <w:tcBorders>
          <w:top w:val="nil" w:sz="4" w:space="0"/>
          <w:bottom w:val="nil" w:sz="4" w:space="0"/>
          <w:insideH w:val="nil" w:sz="4" w:space="0"/>
          <w:insideV w:val="nil" w:sz="4" w:space="0"/>
        </w:tcBorders>
        <w:shd w:val="clear" w:color="auto" w:fill="efd4d3" w:themeFill="accent2"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3">
    <w:name w:val="Medium List 2 Accent 3"/>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tblPr/>
      <w:tcPr>
        <w:tcBorders>
          <w:top w:val="single" w:color="9bbb59" w:themeColor="accent3"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9bbb59" w:themeColor="accent3" w:sz="8" w:space="0"/>
          <w:insideH w:val="nil" w:sz="4" w:space="0"/>
          <w:insideV w:val="nil" w:sz="4" w:space="0"/>
        </w:tcBorders>
        <w:shd w:val="clear" w:color="auto" w:fill="ffffff" w:themeFill="background1"/>
      </w:tcPr>
    </w:tblStylePr>
    <w:tblStylePr w:type="lastCol">
      <w:tblPr/>
      <w:tcPr>
        <w:tcBorders>
          <w:top w:val="nil" w:sz="4" w:space="0"/>
          <w:left w:val="single" w:color="9bbb59" w:themeColor="accent3"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e6eed6" w:themeFill="accent3" w:themeFillTint="3f"/>
      </w:tcPr>
    </w:tblStylePr>
    <w:tblStylePr w:type="band1Horz">
      <w:tblPr/>
      <w:tcPr>
        <w:tcBorders>
          <w:top w:val="nil" w:sz="4" w:space="0"/>
          <w:bottom w:val="nil" w:sz="4" w:space="0"/>
          <w:insideH w:val="nil" w:sz="4" w:space="0"/>
          <w:insideV w:val="nil" w:sz="4" w:space="0"/>
        </w:tcBorders>
        <w:shd w:val="clear" w:color="auto" w:fill="e6eed6" w:themeFill="accent3"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4">
    <w:name w:val="Medium List 2 Accent 4"/>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tblPr/>
      <w:tcPr>
        <w:tcBorders>
          <w:top w:val="single" w:color="8064a2" w:themeColor="accent4"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8064a2" w:themeColor="accent4" w:sz="8" w:space="0"/>
          <w:insideH w:val="nil" w:sz="4" w:space="0"/>
          <w:insideV w:val="nil" w:sz="4" w:space="0"/>
        </w:tcBorders>
        <w:shd w:val="clear" w:color="auto" w:fill="ffffff" w:themeFill="background1"/>
      </w:tcPr>
    </w:tblStylePr>
    <w:tblStylePr w:type="lastCol">
      <w:tblPr/>
      <w:tcPr>
        <w:tcBorders>
          <w:top w:val="nil" w:sz="4" w:space="0"/>
          <w:left w:val="single" w:color="8064a2" w:themeColor="accent4"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fd8e8" w:themeFill="accent4" w:themeFillTint="3f"/>
      </w:tcPr>
    </w:tblStylePr>
    <w:tblStylePr w:type="band1Horz">
      <w:tblPr/>
      <w:tcPr>
        <w:tcBorders>
          <w:top w:val="nil" w:sz="4" w:space="0"/>
          <w:bottom w:val="nil" w:sz="4" w:space="0"/>
          <w:insideH w:val="nil" w:sz="4" w:space="0"/>
          <w:insideV w:val="nil" w:sz="4" w:space="0"/>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5">
    <w:name w:val="Medium List 2 Accent 5"/>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tblPr/>
      <w:tcPr>
        <w:tcBorders>
          <w:top w:val="single" w:color="4bacc6" w:themeColor="accent5"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4bacc6" w:themeColor="accent5" w:sz="8" w:space="0"/>
          <w:insideH w:val="nil" w:sz="4" w:space="0"/>
          <w:insideV w:val="nil" w:sz="4" w:space="0"/>
        </w:tcBorders>
        <w:shd w:val="clear" w:color="auto" w:fill="ffffff" w:themeFill="background1"/>
      </w:tcPr>
    </w:tblStylePr>
    <w:tblStylePr w:type="lastCol">
      <w:tblPr/>
      <w:tcPr>
        <w:tcBorders>
          <w:top w:val="nil" w:sz="4" w:space="0"/>
          <w:left w:val="single" w:color="4bacc6" w:themeColor="accent5"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d1eaf1" w:themeFill="accent5" w:themeFillTint="3f"/>
      </w:tcPr>
    </w:tblStylePr>
    <w:tblStylePr w:type="band1Horz">
      <w:tblPr/>
      <w:tcPr>
        <w:tcBorders>
          <w:top w:val="nil" w:sz="4" w:space="0"/>
          <w:bottom w:val="nil" w:sz="4" w:space="0"/>
          <w:insideH w:val="nil" w:sz="4" w:space="0"/>
          <w:insideV w:val="nil" w:sz="4" w:space="0"/>
        </w:tcBorders>
        <w:shd w:val="clear" w:color="auto" w:fill="d1eaf1" w:themeFill="accent5"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List2Accent6">
    <w:name w:val="Medium List 2 Accent 6"/>
    <w:basedOn w:val="NormalTable"/>
    <w:uiPriority w:val="66"/>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tblPr/>
      <w:tcPr>
        <w:tcBorders>
          <w:top w:val="single" w:color="f79646" w:themeColor="accent6" w:sz="8" w:space="0"/>
          <w:left w:val="nil" w:sz="4" w:space="0"/>
          <w:bottom w:val="nil" w:sz="4" w:space="0"/>
          <w:right w:val="nil" w:sz="4" w:space="0"/>
          <w:insideH w:val="nil" w:sz="4" w:space="0"/>
          <w:insideV w:val="nil" w:sz="4" w:space="0"/>
        </w:tcBorders>
        <w:shd w:val="clear" w:color="auto" w:fill="ffffff" w:themeFill="background1"/>
      </w:tcPr>
    </w:tblStylePr>
    <w:tblStylePr w:type="firstCol">
      <w:tblPr/>
      <w:tcPr>
        <w:tcBorders>
          <w:top w:val="nil" w:sz="4" w:space="0"/>
          <w:left w:val="nil" w:sz="4" w:space="0"/>
          <w:bottom w:val="nil" w:sz="4" w:space="0"/>
          <w:right w:val="single" w:color="f79646" w:themeColor="accent6" w:sz="8" w:space="0"/>
          <w:insideH w:val="nil" w:sz="4" w:space="0"/>
          <w:insideV w:val="nil" w:sz="4" w:space="0"/>
        </w:tcBorders>
        <w:shd w:val="clear" w:color="auto" w:fill="ffffff" w:themeFill="background1"/>
      </w:tcPr>
    </w:tblStylePr>
    <w:tblStylePr w:type="lastCol">
      <w:tblPr/>
      <w:tcPr>
        <w:tcBorders>
          <w:top w:val="nil" w:sz="4" w:space="0"/>
          <w:left w:val="single" w:color="f79646" w:themeColor="accent6" w:sz="8" w:space="0"/>
          <w:bottom w:val="nil" w:sz="4" w:space="0"/>
          <w:right w:val="nil" w:sz="4" w:space="0"/>
          <w:insideH w:val="nil" w:sz="4" w:space="0"/>
          <w:insideV w:val="nil" w:sz="4" w:space="0"/>
        </w:tcBorders>
        <w:shd w:val="clear" w:color="auto" w:fill="ffffff" w:themeFill="background1"/>
      </w:tcPr>
    </w:tblStylePr>
    <w:tblStylePr w:type="band1Vert">
      <w:tblPr/>
      <w:tcPr>
        <w:tcBorders>
          <w:left w:val="nil" w:sz="4" w:space="0"/>
          <w:right w:val="nil" w:sz="4" w:space="0"/>
          <w:insideH w:val="nil" w:sz="4" w:space="0"/>
          <w:insideV w:val="nil" w:sz="4" w:space="0"/>
        </w:tcBorders>
        <w:shd w:val="clear" w:color="auto" w:fill="fde5d1" w:themeFill="accent6" w:themeFillTint="3f"/>
      </w:tcPr>
    </w:tblStylePr>
    <w:tblStylePr w:type="band1Horz">
      <w:tblPr/>
      <w:tcPr>
        <w:tcBorders>
          <w:top w:val="nil" w:sz="4" w:space="0"/>
          <w:bottom w:val="nil" w:sz="4" w:space="0"/>
          <w:insideH w:val="nil" w:sz="4" w:space="0"/>
          <w:insideV w:val="nil" w:sz="4" w:space="0"/>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sz="4" w:space="0"/>
        </w:tcBorders>
      </w:tcPr>
    </w:tblStylePr>
  </w:style>
  <w:style w:type="table" w:styleId="MediumGrid1">
    <w:name w:val="Medium Grid 1"/>
    <w:basedOn w:val="NormalTable"/>
    <w:uiPriority w:val="67"/>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NormalTable"/>
    <w:uiPriority w:val="67"/>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e0ef"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MediumGrid1Accent2">
    <w:name w:val="Medium Grid 1 Accent 2"/>
    <w:basedOn w:val="NormalTable"/>
    <w:uiPriority w:val="67"/>
    <w:pPr>
      <w:spacing w:after="0" w:line="240" w:lineRule="auto"/>
    </w:pPr>
    <w:tblPr>
      <w:tblStyleRowBandSize w:val="1"/>
      <w:tblStyleColBandSize w:val="1"/>
      <w:tblInd w:w="0" w:type="dxa"/>
      <w:tblBorders>
        <w:top w:val="single" w:color="d07a78" w:themeColor="accent2" w:themeTint="bf" w:sz="8" w:space="0"/>
        <w:left w:val="single" w:color="d07a78" w:themeColor="accent2" w:themeTint="bf" w:sz="8" w:space="0"/>
        <w:bottom w:val="single" w:color="d07a78" w:themeColor="accent2" w:themeTint="bf" w:sz="8" w:space="0"/>
        <w:right w:val="single" w:color="d07a78" w:themeColor="accent2" w:themeTint="bf" w:sz="8" w:space="0"/>
        <w:insideH w:val="single" w:color="d07a78" w:themeColor="accent2" w:themeTint="bf" w:sz="8" w:space="0"/>
        <w:insideV w:val="single" w:color="d07a78" w:themeColor="accent2" w:themeTint="bf" w:sz="8" w:space="0"/>
      </w:tblBorders>
      <w:tblCellMar>
        <w:top w:w="0" w:type="dxa"/>
        <w:left w:w="108" w:type="dxa"/>
        <w:bottom w:w="0" w:type="dxa"/>
        <w:right w:w="108" w:type="dxa"/>
      </w:tblCellMar>
    </w:tblPr>
    <w:tcPr>
      <w:shd w:val="clear" w:color="auto" w:fill="efd4d3" w:themeFill="accent2" w:themeFillTint="3f"/>
    </w:tcPr>
    <w:tblStylePr w:type="firstRow">
      <w:rPr>
        <w:b/>
        <w:bCs/>
      </w:rPr>
    </w:tblStylePr>
    <w:tblStylePr w:type="lastRow">
      <w:rPr>
        <w:b/>
        <w:bCs/>
      </w:rPr>
      <w:tblPr/>
      <w:tcPr>
        <w:tcBorders>
          <w:top w:val="single" w:color="d07a78" w:themeColor="accent2" w:themeTint="bf" w:sz="18" w:space="0"/>
        </w:tcBorders>
      </w:tcPr>
    </w:tblStylePr>
    <w:tblStylePr w:type="firstCol">
      <w:rPr>
        <w:b/>
        <w:bCs/>
      </w:rPr>
    </w:tblStylePr>
    <w:tblStylePr w:type="lastCol">
      <w:rPr>
        <w:b/>
        <w:bCs/>
      </w:r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MediumGrid1Accent3">
    <w:name w:val="Medium Grid 1 Accent 3"/>
    <w:basedOn w:val="NormalTable"/>
    <w:uiPriority w:val="67"/>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6"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MediumGrid1Accent4">
    <w:name w:val="Medium Grid 1 Accent 4"/>
    <w:basedOn w:val="NormalTable"/>
    <w:uiPriority w:val="67"/>
    <w:pPr>
      <w:spacing w:after="0" w:line="240" w:lineRule="auto"/>
    </w:pPr>
    <w:tblPr>
      <w:tblStyleRowBandSize w:val="1"/>
      <w:tblStyleColBandSize w:val="1"/>
      <w:tblInd w:w="0" w:type="dxa"/>
      <w:tblBorders>
        <w:top w:val="single" w:color="a08bb9" w:themeColor="accent4" w:themeTint="bf" w:sz="8" w:space="0"/>
        <w:left w:val="single" w:color="a08bb9" w:themeColor="accent4" w:themeTint="bf" w:sz="8" w:space="0"/>
        <w:bottom w:val="single" w:color="a08bb9" w:themeColor="accent4" w:themeTint="bf" w:sz="8" w:space="0"/>
        <w:right w:val="single" w:color="a08bb9" w:themeColor="accent4" w:themeTint="bf" w:sz="8" w:space="0"/>
        <w:insideH w:val="single" w:color="a08bb9" w:themeColor="accent4" w:themeTint="bf" w:sz="8" w:space="0"/>
        <w:insideV w:val="single" w:color="a08b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a08bb9" w:themeColor="accent4" w:themeTint="bf" w:sz="18" w:space="0"/>
        </w:tcBorders>
      </w:tcPr>
    </w:tblStylePr>
    <w:tblStylePr w:type="firstCol">
      <w:rPr>
        <w:b/>
        <w:bCs/>
      </w:rPr>
    </w:tblStylePr>
    <w:tblStylePr w:type="lastCol">
      <w:rPr>
        <w:b/>
        <w:bCs/>
      </w:r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MediumGrid1Accent5">
    <w:name w:val="Medium Grid 1 Accent 5"/>
    <w:basedOn w:val="NormalTable"/>
    <w:uiPriority w:val="67"/>
    <w:pPr>
      <w:spacing w:after="0" w:line="240" w:lineRule="auto"/>
    </w:pPr>
    <w:tblPr>
      <w:tblStyleRowBandSize w:val="1"/>
      <w:tblStyleColBandSize w:val="1"/>
      <w:tblInd w:w="0" w:type="dxa"/>
      <w:tblBorders>
        <w:top w:val="single" w:color="76c0d4" w:themeColor="accent5" w:themeTint="bf" w:sz="8" w:space="0"/>
        <w:left w:val="single" w:color="76c0d4" w:themeColor="accent5" w:themeTint="bf" w:sz="8" w:space="0"/>
        <w:bottom w:val="single" w:color="76c0d4" w:themeColor="accent5" w:themeTint="bf" w:sz="8" w:space="0"/>
        <w:right w:val="single" w:color="76c0d4" w:themeColor="accent5" w:themeTint="bf" w:sz="8" w:space="0"/>
        <w:insideH w:val="single" w:color="76c0d4" w:themeColor="accent5" w:themeTint="bf" w:sz="8" w:space="0"/>
        <w:insideV w:val="single" w:color="76c0d4" w:themeColor="accent5" w:themeTint="bf" w:sz="8" w:space="0"/>
      </w:tblBorders>
      <w:tblCellMar>
        <w:top w:w="0" w:type="dxa"/>
        <w:left w:w="108" w:type="dxa"/>
        <w:bottom w:w="0" w:type="dxa"/>
        <w:right w:w="108" w:type="dxa"/>
      </w:tblCellMar>
    </w:tblPr>
    <w:tcPr>
      <w:shd w:val="clear" w:color="auto" w:fill="d1eaf1" w:themeFill="accent5" w:themeFillTint="3f"/>
    </w:tcPr>
    <w:tblStylePr w:type="firstRow">
      <w:rPr>
        <w:b/>
        <w:bCs/>
      </w:rPr>
    </w:tblStylePr>
    <w:tblStylePr w:type="lastRow">
      <w:rPr>
        <w:b/>
        <w:bCs/>
      </w:rPr>
      <w:tblPr/>
      <w:tcPr>
        <w:tcBorders>
          <w:top w:val="single" w:color="76c0d4" w:themeColor="accent5" w:themeTint="bf" w:sz="18" w:space="0"/>
        </w:tcBorders>
      </w:tcPr>
    </w:tblStylePr>
    <w:tblStylePr w:type="firstCol">
      <w:rPr>
        <w:b/>
        <w:bCs/>
      </w:rPr>
    </w:tblStylePr>
    <w:tblStylePr w:type="lastCol">
      <w:rPr>
        <w:b/>
        <w:bCs/>
      </w:r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MediumGrid1Accent6">
    <w:name w:val="Medium Grid 1 Accent 6"/>
    <w:basedOn w:val="NormalTable"/>
    <w:uiPriority w:val="67"/>
    <w:pPr>
      <w:spacing w:after="0" w:line="240" w:lineRule="auto"/>
    </w:pPr>
    <w:tblPr>
      <w:tblStyleRowBandSize w:val="1"/>
      <w:tblStyleColBandSize w:val="1"/>
      <w:tblInd w:w="0" w:type="dxa"/>
      <w:tblBorders>
        <w:top w:val="single" w:color="f9b073" w:themeColor="accent6" w:themeTint="bf" w:sz="8" w:space="0"/>
        <w:left w:val="single" w:color="f9b073" w:themeColor="accent6" w:themeTint="bf" w:sz="8" w:space="0"/>
        <w:bottom w:val="single" w:color="f9b073" w:themeColor="accent6" w:themeTint="bf" w:sz="8" w:space="0"/>
        <w:right w:val="single" w:color="f9b073" w:themeColor="accent6" w:themeTint="bf" w:sz="8" w:space="0"/>
        <w:insideH w:val="single" w:color="f9b073" w:themeColor="accent6" w:themeTint="bf" w:sz="8" w:space="0"/>
        <w:insideV w:val="single" w:color="f9b073"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3" w:themeColor="accent6" w:themeTint="bf" w:sz="18" w:space="0"/>
        </w:tcBorders>
      </w:tcPr>
    </w:tblStylePr>
    <w:tblStylePr w:type="firstCol">
      <w:rPr>
        <w:b/>
        <w:bCs/>
      </w:rPr>
    </w:tblStylePr>
    <w:tblStylePr w:type="lastCol">
      <w:rPr>
        <w:b/>
        <w:bCs/>
      </w:r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 w:type="table" w:styleId="MediumGrid2">
    <w:name w:val="Medium Grid 2"/>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e0ef" w:themeFill="accent1" w:themeFillTint="3f"/>
    </w:tcPr>
    <w:tblStylePr w:type="firstRow">
      <w:rPr>
        <w:b/>
        <w:bCs/>
        <w:color w:val="000000" w:themeColor="text1"/>
      </w:rPr>
      <w:tblPr/>
      <w:tcPr>
        <w:shd w:val="clear" w:color="auto" w:fill="eef3f8" w:themeFill="accent1"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5f1" w:themeFill="accent1" w:themeFillTint="33"/>
      </w:tcPr>
    </w:tblStylePr>
    <w:tblStylePr w:type="band1Vert">
      <w:tblPr/>
      <w:tcPr>
        <w:shd w:val="clear" w:color="auto" w:fill="a6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6bfde" w:themeFill="accent1" w:themeFillTint="7f"/>
      </w:tcPr>
    </w:tblStylePr>
    <w:tblStylePr w:type="nwCell">
      <w:tblPr/>
      <w:tcPr>
        <w:shd w:val="clear" w:color="auto" w:fill="ffffff" w:themeFill="background1"/>
      </w:tcPr>
    </w:tblStylePr>
  </w:style>
  <w:style w:type="table" w:styleId="MediumGrid2Accent2">
    <w:name w:val="Medium Grid 2 Accent 2"/>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4d3" w:themeFill="accent2" w:themeFillTint="3f"/>
    </w:tcPr>
    <w:tblStylePr w:type="firstRow">
      <w:rPr>
        <w:b/>
        <w:bCs/>
        <w:color w:val="000000" w:themeColor="text1"/>
      </w:rPr>
      <w:tblPr/>
      <w:tcPr>
        <w:shd w:val="clear" w:color="auto" w:fill="f9eded" w:themeFill="accent2"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f2dbda" w:themeFill="accent2" w:themeFillTint="33"/>
      </w:tcPr>
    </w:tblStylePr>
    <w:tblStylePr w:type="band1Vert">
      <w:tblPr/>
      <w:tcPr>
        <w:shd w:val="clear" w:color="auto" w:fill="dfa6a5"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6a5" w:themeFill="accent2" w:themeFillTint="7f"/>
      </w:tcPr>
    </w:tblStylePr>
    <w:tblStylePr w:type="nwCell">
      <w:tblPr/>
      <w:tcPr>
        <w:shd w:val="clear" w:color="auto" w:fill="ffffff" w:themeFill="background1"/>
      </w:tcPr>
    </w:tblStylePr>
  </w:style>
  <w:style w:type="table" w:styleId="MediumGrid2Accent3">
    <w:name w:val="Medium Grid 2 Accent 3"/>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6"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eaf1dd" w:themeFill="accent3" w:themeFillTint="33"/>
      </w:tcPr>
    </w:tblStylePr>
    <w:tblStylePr w:type="band1Vert">
      <w:tblPr/>
      <w:tcPr>
        <w:shd w:val="clear" w:color="auto" w:fill="ccddab" w:themeFill="accent3" w:themeFillTint="7f"/>
      </w:tcPr>
    </w:tblStylePr>
    <w:tblStylePr w:type="band1Horz">
      <w:tblPr/>
      <w:tcPr>
        <w:tcBorders>
          <w:insideH w:val="single" w:color="9bbb59" w:themeColor="accent3" w:sz="6" w:space="0"/>
          <w:insideV w:val="single" w:color="9bbb59" w:themeColor="accent3" w:sz="6" w:space="0"/>
        </w:tcBorders>
        <w:shd w:val="clear" w:color="auto" w:fill="ccddab" w:themeFill="accent3" w:themeFillTint="7f"/>
      </w:tcPr>
    </w:tblStylePr>
    <w:tblStylePr w:type="nwCell">
      <w:tblPr/>
      <w:tcPr>
        <w:shd w:val="clear" w:color="auto" w:fill="ffffff" w:themeFill="background1"/>
      </w:tcPr>
    </w:tblStylePr>
  </w:style>
  <w:style w:type="table" w:styleId="MediumGrid2Accent4">
    <w:name w:val="Medium Grid 2 Accent 4"/>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e5e0ec" w:themeFill="accent4" w:themeFillTint="33"/>
      </w:tcPr>
    </w:tblStylePr>
    <w:tblStylePr w:type="band1Vert">
      <w:tblPr/>
      <w:tcPr>
        <w:shd w:val="clear" w:color="auto" w:fill="bfb1d1"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1" w:themeFill="accent4" w:themeFillTint="7f"/>
      </w:tcPr>
    </w:tblStylePr>
    <w:tblStylePr w:type="nwCell">
      <w:tblPr/>
      <w:tcPr>
        <w:shd w:val="clear" w:color="auto" w:fill="ffffff" w:themeFill="background1"/>
      </w:tcPr>
    </w:tblStylePr>
  </w:style>
  <w:style w:type="table" w:styleId="MediumGrid2Accent5">
    <w:name w:val="Medium Grid 2 Accent 5"/>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1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dbeef3" w:themeFill="accent5" w:themeFillTint="33"/>
      </w:tcPr>
    </w:tblStylePr>
    <w:tblStylePr w:type="band1Vert">
      <w:tblPr/>
      <w:tcPr>
        <w:shd w:val="clear" w:color="auto" w:fill="a4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4d5e2" w:themeFill="accent5" w:themeFillTint="7f"/>
      </w:tcPr>
    </w:tblStylePr>
    <w:tblStylePr w:type="nwCell">
      <w:tblPr/>
      <w:tcPr>
        <w:shd w:val="clear" w:color="auto" w:fill="ffffff" w:themeFill="background1"/>
      </w:tcPr>
    </w:tblStylePr>
  </w:style>
  <w:style w:type="table" w:styleId="MediumGrid2Accent6">
    <w:name w:val="Medium Grid 2 Accent 6"/>
    <w:basedOn w:val="NormalTable"/>
    <w:uiPriority w:val="68"/>
    <w:pPr>
      <w:spacing w:after="0" w:line="240" w:lineRule="auto"/>
    </w:pPr>
    <w:rPr>
      <w:rFonts w:asciiTheme="majorHAnsi" w:cstheme="majorBidi" w:eastAsiaTheme="majorEastAsia" w:hAnsiTheme="majorHAns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sz="4" w:space="0"/>
          <w:bottom w:val="nil" w:sz="4" w:space="0"/>
          <w:right w:val="nil" w:sz="4" w:space="0"/>
          <w:insideH w:val="nil" w:sz="4" w:space="0"/>
          <w:insideV w:val="nil" w:sz="4" w:space="0"/>
        </w:tcBorders>
        <w:shd w:val="clear" w:color="auto" w:fill="ffffff" w:themeFill="background1"/>
      </w:tcPr>
    </w:tblStylePr>
    <w:tblStylePr w:type="firstCol">
      <w:rPr>
        <w:b/>
        <w:bCs/>
        <w:color w:val="000000" w:themeColor="text1"/>
      </w:rPr>
      <w:tblPr/>
      <w:tcPr>
        <w:tcBorders>
          <w:top w:val="nil" w:sz="4" w:space="0"/>
          <w:left w:val="nil" w:sz="4" w:space="0"/>
          <w:bottom w:val="nil" w:sz="4" w:space="0"/>
          <w:right w:val="nil" w:sz="4" w:space="0"/>
          <w:insideH w:val="nil" w:sz="4" w:space="0"/>
          <w:insideV w:val="nil" w:sz="4" w:space="0"/>
        </w:tcBorders>
        <w:shd w:val="clear" w:color="auto" w:fill="ffffff" w:themeFill="background1"/>
      </w:tcPr>
    </w:tblStylePr>
    <w:tblStylePr w:type="lastCol">
      <w:rPr>
        <w:b w:val="off"/>
        <w:bCs w:val="off"/>
        <w:color w:val="000000" w:themeColor="text1"/>
      </w:rPr>
      <w:tblPr/>
      <w:tcPr>
        <w:tcBorders>
          <w:top w:val="nil" w:sz="4" w:space="0"/>
          <w:left w:val="nil" w:sz="4" w:space="0"/>
          <w:bottom w:val="nil" w:sz="4" w:space="0"/>
          <w:right w:val="nil" w:sz="4" w:space="0"/>
          <w:insideH w:val="nil" w:sz="4" w:space="0"/>
          <w:insideV w:val="nil" w:sz="4" w:space="0"/>
        </w:tcBorders>
        <w:shd w:val="clear" w:color="auto" w:fill="fde9d9" w:themeFill="accent6" w:themeFillTint="33"/>
      </w:tcPr>
    </w:tblStylePr>
    <w:tblStylePr w:type="band1Vert">
      <w:tblPr/>
      <w:tcPr>
        <w:shd w:val="clear" w:color="auto" w:fill="fbcaa1"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1" w:themeFill="accent6" w:themeFillTint="7f"/>
      </w:tcPr>
    </w:tblStylePr>
    <w:tblStylePr w:type="nwCell">
      <w:tblPr/>
      <w:tcPr>
        <w:shd w:val="clear" w:color="auto" w:fill="ffffff" w:themeFill="background1"/>
      </w:tcPr>
    </w:tblStylePr>
  </w:style>
  <w:style w:type="table" w:styleId="MediumGrid3">
    <w:name w:val="Medium Grid 3"/>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000000" w:themeFill="text1"/>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000000" w:themeFill="text1"/>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000000" w:themeFill="text1"/>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e0ef" w:themeFill="accent1"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f81bd" w:themeFill="accent1"/>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f81bd" w:themeFill="accent1"/>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f81bd" w:themeFill="accent1"/>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6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6bfde" w:themeFill="accent1" w:themeFillTint="7f"/>
      </w:tcPr>
    </w:tblStylePr>
  </w:style>
  <w:style w:type="table" w:styleId="MediumGrid3Accent2">
    <w:name w:val="Medium Grid 3 Accent 2"/>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4d3" w:themeFill="accent2"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c0504d" w:themeFill="accent2"/>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c0504d" w:themeFill="accent2"/>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c0504d" w:themeFill="accent2"/>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dfa6a5"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6a5" w:themeFill="accent2" w:themeFillTint="7f"/>
      </w:tcPr>
    </w:tblStylePr>
  </w:style>
  <w:style w:type="table" w:styleId="MediumGrid3Accent3">
    <w:name w:val="Medium Grid 3 Accent 3"/>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6" w:themeFill="accent3"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9bbb59" w:themeFill="accent3"/>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9bbb59" w:themeFill="accent3"/>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9bbb59" w:themeFill="accent3"/>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ccdda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cddab" w:themeFill="accent3" w:themeFillTint="7f"/>
      </w:tcPr>
    </w:tblStylePr>
  </w:style>
  <w:style w:type="table" w:styleId="MediumGrid3Accent4">
    <w:name w:val="Medium Grid 3 Accent 4"/>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8064a2" w:themeFill="accent4"/>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8064a2" w:themeFill="accent4"/>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8064a2" w:themeFill="accent4"/>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bfb1d1"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1" w:themeFill="accent4" w:themeFillTint="7f"/>
      </w:tcPr>
    </w:tblStylePr>
  </w:style>
  <w:style w:type="table" w:styleId="MediumGrid3Accent5">
    <w:name w:val="Medium Grid 3 Accent 5"/>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1eaf1" w:themeFill="accent5"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4bacc6" w:themeFill="accent5"/>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4bacc6" w:themeFill="accent5"/>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4bacc6" w:themeFill="accent5"/>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a4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4d5e2" w:themeFill="accent5" w:themeFillTint="7f"/>
      </w:tcPr>
    </w:tblStylePr>
  </w:style>
  <w:style w:type="table" w:styleId="MediumGrid3Accent6">
    <w:name w:val="Medium Grid 3 Accent 6"/>
    <w:basedOn w:val="NormalTable"/>
    <w:uiPriority w:val="69"/>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off"/>
        <w:iCs w:val="off"/>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sz="4" w:space="0"/>
          <w:insideV w:val="single" w:color="ffffff" w:themeColor="background1" w:sz="8" w:space="0"/>
        </w:tcBorders>
        <w:shd w:val="clear" w:color="auto" w:fill="f79646" w:themeFill="accent6"/>
      </w:tcPr>
    </w:tblStylePr>
    <w:tblStylePr w:type="lastRow">
      <w:rPr>
        <w:b/>
        <w:bCs/>
        <w:i w:val="off"/>
        <w:iCs w:val="off"/>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sz="4" w:space="0"/>
          <w:insideV w:val="single" w:color="ffffff" w:themeColor="background1" w:sz="8" w:space="0"/>
        </w:tcBorders>
        <w:shd w:val="clear" w:color="auto" w:fill="f79646" w:themeFill="accent6"/>
      </w:tcPr>
    </w:tblStylePr>
    <w:tblStylePr w:type="firstCol">
      <w:rPr>
        <w:b/>
        <w:bCs/>
        <w:i w:val="off"/>
        <w:iCs w:val="off"/>
        <w:color w:val="ffffff" w:themeColor="background1"/>
      </w:rPr>
      <w:tblPr/>
      <w:tcPr>
        <w:tcBorders>
          <w:left w:val="single" w:color="ffffff" w:themeColor="background1" w:sz="8" w:space="0"/>
          <w:right w:val="single" w:color="ffffff" w:themeColor="background1" w:sz="24" w:space="0"/>
          <w:insideH w:val="nil" w:sz="4" w:space="0"/>
          <w:insideV w:val="nil" w:sz="4" w:space="0"/>
        </w:tcBorders>
        <w:shd w:val="clear" w:color="auto" w:fill="f79646" w:themeFill="accent6"/>
      </w:tcPr>
    </w:tblStylePr>
    <w:tblStylePr w:type="lastCol">
      <w:rPr>
        <w:b/>
        <w:bCs/>
        <w:i w:val="off"/>
        <w:iCs w:val="off"/>
        <w:color w:val="ffffff" w:themeColor="background1"/>
      </w:rPr>
      <w:tblPr/>
      <w:tcPr>
        <w:tcBorders>
          <w:top w:val="nil" w:sz="4" w:space="0"/>
          <w:left w:val="single" w:color="ffffff" w:themeColor="background1" w:sz="24" w:space="0"/>
          <w:bottom w:val="nil" w:sz="4" w:space="0"/>
          <w:right w:val="nil" w:sz="4" w:space="0"/>
          <w:insideH w:val="nil" w:sz="4" w:space="0"/>
          <w:insideV w:val="nil" w:sz="4" w:space="0"/>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sz="4" w:space="0"/>
          <w:insideV w:val="nil" w:sz="4" w:space="0"/>
        </w:tcBorders>
        <w:shd w:val="clear" w:color="auto" w:fill="fbca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1" w:themeFill="accent6" w:themeFillTint="7f"/>
      </w:tcPr>
    </w:tblStylePr>
  </w:style>
  <w:style w:type="table" w:styleId="DarkList">
    <w:name w:val="Dark List"/>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000000" w:themeFill="tex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000000" w:themeFill="tex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000000" w:themeFill="tex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style>
  <w:style w:type="table" w:styleId="DarkListAccent1">
    <w:name w:val="Dark List Accent 1"/>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43f60" w:themeFill="accent1"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76091" w:themeFill="accent1"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76091" w:themeFill="accent1"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76091" w:themeFill="accent1" w:themeFillShade="bf"/>
      </w:tcPr>
    </w:tblStylePr>
  </w:style>
  <w:style w:type="table" w:styleId="DarkListAccent2">
    <w:name w:val="Dark List Accent 2"/>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622422" w:themeFill="accent2"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943634" w:themeFill="accent2"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943634" w:themeFill="accent2"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943634" w:themeFill="accent2" w:themeFillShade="bf"/>
      </w:tcPr>
    </w:tblStylePr>
  </w:style>
  <w:style w:type="table" w:styleId="DarkListAccent3">
    <w:name w:val="Dark List Accent 3"/>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4e6127" w:themeFill="accent3"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75923c" w:themeFill="accent3"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75923c" w:themeFill="accent3"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75923c" w:themeFill="accent3" w:themeFillShade="bf"/>
      </w:tcPr>
    </w:tblStylePr>
  </w:style>
  <w:style w:type="table" w:styleId="DarkListAccent4">
    <w:name w:val="Dark List Accent 4"/>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3f3151" w:themeFill="accent4"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60497b" w:themeFill="accent4"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60497b" w:themeFill="accent4"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60497b" w:themeFill="accent4" w:themeFillShade="bf"/>
      </w:tcPr>
    </w:tblStylePr>
  </w:style>
  <w:style w:type="table" w:styleId="DarkListAccent5">
    <w:name w:val="Dark List Accent 5"/>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205766" w:themeFill="accent5"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318399" w:themeFill="accent5"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318399" w:themeFill="accent5"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318399" w:themeFill="accent5" w:themeFillShade="bf"/>
      </w:tcPr>
    </w:tblStylePr>
  </w:style>
  <w:style w:type="table" w:styleId="DarkListAccent6">
    <w:name w:val="Dark List Accent 6"/>
    <w:basedOn w:val="NormalTable"/>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sz="4" w:space="0"/>
          <w:left w:val="nil" w:sz="4" w:space="0"/>
          <w:bottom w:val="single" w:color="ffffff" w:themeColor="background1" w:sz="18" w:space="0"/>
          <w:right w:val="nil" w:sz="4" w:space="0"/>
          <w:insideH w:val="nil" w:sz="4" w:space="0"/>
          <w:insideV w:val="nil" w:sz="4" w:space="0"/>
        </w:tcBorders>
        <w:shd w:val="clear" w:color="auto" w:fill="000000" w:themeFill="text1"/>
      </w:tcPr>
    </w:tblStylePr>
    <w:tblStylePr w:type="lastRow">
      <w:tblPr/>
      <w:tcPr>
        <w:tcBorders>
          <w:top w:val="single" w:color="ffffff" w:themeColor="background1" w:sz="18" w:space="0"/>
          <w:left w:val="nil" w:sz="4" w:space="0"/>
          <w:bottom w:val="nil" w:sz="4" w:space="0"/>
          <w:right w:val="nil" w:sz="4" w:space="0"/>
          <w:insideH w:val="nil" w:sz="4" w:space="0"/>
          <w:insideV w:val="nil" w:sz="4" w:space="0"/>
        </w:tcBorders>
        <w:shd w:val="clear" w:color="auto" w:fill="964706" w:themeFill="accent6" w:themeFillShade="7f"/>
      </w:tcPr>
    </w:tblStylePr>
    <w:tblStylePr w:type="firstCol">
      <w:tblPr/>
      <w:tcPr>
        <w:tcBorders>
          <w:top w:val="nil" w:sz="4" w:space="0"/>
          <w:left w:val="nil" w:sz="4" w:space="0"/>
          <w:bottom w:val="nil" w:sz="4" w:space="0"/>
          <w:right w:val="single" w:color="ffffff" w:themeColor="background1" w:sz="18" w:space="0"/>
          <w:insideH w:val="nil" w:sz="4" w:space="0"/>
          <w:insideV w:val="nil" w:sz="4" w:space="0"/>
        </w:tcBorders>
        <w:shd w:val="clear" w:color="auto" w:fill="e26c0a" w:themeFill="accent6" w:themeFillShade="bf"/>
      </w:tcPr>
    </w:tblStylePr>
    <w:tblStylePr w:type="lastCol">
      <w:tblPr/>
      <w:tcPr>
        <w:tcBorders>
          <w:top w:val="nil" w:sz="4" w:space="0"/>
          <w:left w:val="single" w:color="ffffff" w:themeColor="background1" w:sz="18" w:space="0"/>
          <w:bottom w:val="nil" w:sz="4" w:space="0"/>
          <w:right w:val="nil" w:sz="4" w:space="0"/>
          <w:insideH w:val="nil" w:sz="4" w:space="0"/>
          <w:insideV w:val="nil" w:sz="4" w:space="0"/>
        </w:tcBorders>
        <w:shd w:val="clear" w:color="auto" w:fill="e26c0a" w:themeFill="accent6" w:themeFillShade="bf"/>
      </w:tcPr>
    </w:tblStylePr>
    <w:tblStylePr w:type="band1Vert">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tblStylePr w:type="band1Horz">
      <w:tblPr/>
      <w:tcPr>
        <w:tcBorders>
          <w:top w:val="nil" w:sz="4" w:space="0"/>
          <w:left w:val="nil" w:sz="4" w:space="0"/>
          <w:bottom w:val="nil" w:sz="4" w:space="0"/>
          <w:right w:val="nil" w:sz="4" w:space="0"/>
          <w:insideH w:val="nil" w:sz="4" w:space="0"/>
          <w:insideV w:val="nil" w:sz="4" w:space="0"/>
        </w:tcBorders>
        <w:shd w:val="clear" w:color="auto" w:fill="e26c0a" w:themeFill="accent6" w:themeFillShade="bf"/>
      </w:tcPr>
    </w:tblStylePr>
  </w:style>
  <w:style w:type="table" w:styleId="ColorfulShading">
    <w:name w:val="Colorful Shading"/>
    <w:basedOn w:val="NormalTable"/>
    <w:uiPriority w:val="71"/>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sz="4" w:space="0"/>
          <w:left w:val="nil" w:sz="4" w:space="0"/>
          <w:bottom w:val="nil" w:sz="4" w:space="0"/>
          <w:right w:val="nil" w:sz="4" w:space="0"/>
          <w:insideH w:val="single" w:color="000000" w:themeColor="text1" w:themeShade="99" w:sz="4" w:space="0"/>
          <w:insideV w:val="nil" w:sz="4" w:space="0"/>
        </w:tcBorders>
        <w:shd w:val="clear" w:color="auto" w:fill="000000" w:themeFill="tex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NormalTable"/>
    <w:uiPriority w:val="71"/>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3f8" w:themeFill="accent1"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d74" w:themeFill="accent1" w:themeFillShade="99"/>
      </w:tcPr>
    </w:tblStylePr>
    <w:tblStylePr w:type="firstCol">
      <w:rPr>
        <w:color w:val="ffffff" w:themeColor="background1"/>
      </w:rPr>
      <w:tblPr/>
      <w:tcPr>
        <w:tcBorders>
          <w:top w:val="nil" w:sz="4" w:space="0"/>
          <w:left w:val="nil" w:sz="4" w:space="0"/>
          <w:bottom w:val="nil" w:sz="4" w:space="0"/>
          <w:right w:val="nil" w:sz="4" w:space="0"/>
          <w:insideH w:val="single" w:color="2c4d74" w:themeColor="accent1" w:themeShade="99" w:sz="4" w:space="0"/>
          <w:insideV w:val="nil" w:sz="4" w:space="0"/>
        </w:tcBorders>
        <w:shd w:val="clear" w:color="auto" w:fill="2c4d74" w:themeFill="accent1"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c4d74" w:themeFill="accent1" w:themeFillShade="99"/>
      </w:tcPr>
    </w:tblStylePr>
    <w:tblStylePr w:type="band1Vert">
      <w:tblPr/>
      <w:tcPr>
        <w:shd w:val="clear" w:color="auto" w:fill="b8cce4" w:themeFill="accent1" w:themeFillTint="66"/>
      </w:tcPr>
    </w:tblStylePr>
    <w:tblStylePr w:type="band1Horz">
      <w:tblPr/>
      <w:tcPr>
        <w:shd w:val="clear" w:color="auto" w:fill="a6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NormalTable"/>
    <w:uiPriority w:val="71"/>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9eded" w:themeFill="accent2" w:themeFillTint="19"/>
    </w:tcPr>
    <w:tblStylePr w:type="firstRow">
      <w:rPr>
        <w:b/>
        <w:bCs/>
      </w:rPr>
      <w:tblPr/>
      <w:tcPr>
        <w:tcBorders>
          <w:top w:val="nil" w:sz="4" w:space="0"/>
          <w:left w:val="nil" w:sz="4" w:space="0"/>
          <w:bottom w:val="single" w:color="c0504d" w:themeColor="accent2"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62c2a" w:themeFill="accent2" w:themeFillShade="99"/>
      </w:tcPr>
    </w:tblStylePr>
    <w:tblStylePr w:type="firstCol">
      <w:rPr>
        <w:color w:val="ffffff" w:themeColor="background1"/>
      </w:rPr>
      <w:tblPr/>
      <w:tcPr>
        <w:tcBorders>
          <w:top w:val="nil" w:sz="4" w:space="0"/>
          <w:left w:val="nil" w:sz="4" w:space="0"/>
          <w:bottom w:val="nil" w:sz="4" w:space="0"/>
          <w:right w:val="nil" w:sz="4" w:space="0"/>
          <w:insideH w:val="single" w:color="762c2a" w:themeColor="accent2" w:themeShade="99" w:sz="4" w:space="0"/>
          <w:insideV w:val="nil" w:sz="4" w:space="0"/>
        </w:tcBorders>
        <w:shd w:val="clear" w:color="auto" w:fill="762c2a" w:themeFill="accent2"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762c2a" w:themeFill="accent2" w:themeFillShade="99"/>
      </w:tcPr>
    </w:tblStylePr>
    <w:tblStylePr w:type="band1Vert">
      <w:tblPr/>
      <w:tcPr>
        <w:shd w:val="clear" w:color="auto" w:fill="e5b8b7" w:themeFill="accent2" w:themeFillTint="66"/>
      </w:tcPr>
    </w:tblStylePr>
    <w:tblStylePr w:type="band1Horz">
      <w:tblPr/>
      <w:tcPr>
        <w:shd w:val="clear" w:color="auto" w:fill="dfa6a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NormalTable"/>
    <w:uiPriority w:val="71"/>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sz="4" w:space="0"/>
          <w:left w:val="nil" w:sz="4" w:space="0"/>
          <w:bottom w:val="single" w:color="8064a2" w:themeColor="accent4"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d7430" w:themeFill="accent3" w:themeFillShade="99"/>
      </w:tcPr>
    </w:tblStylePr>
    <w:tblStylePr w:type="firstCol">
      <w:rPr>
        <w:color w:val="ffffff" w:themeColor="background1"/>
      </w:rPr>
      <w:tblPr/>
      <w:tcPr>
        <w:tcBorders>
          <w:top w:val="nil" w:sz="4" w:space="0"/>
          <w:left w:val="nil" w:sz="4" w:space="0"/>
          <w:bottom w:val="nil" w:sz="4" w:space="0"/>
          <w:right w:val="nil" w:sz="4" w:space="0"/>
          <w:insideH w:val="single" w:color="5d7430" w:themeColor="accent3" w:themeShade="99" w:sz="4" w:space="0"/>
          <w:insideV w:val="nil" w:sz="4" w:space="0"/>
        </w:tcBorders>
        <w:shd w:val="clear" w:color="auto" w:fill="5d7430" w:themeFill="accent3"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5d7430" w:themeFill="accent3" w:themeFillShade="99"/>
      </w:tcPr>
    </w:tblStylePr>
    <w:tblStylePr w:type="band1Vert">
      <w:tblPr/>
      <w:tcPr>
        <w:shd w:val="clear" w:color="auto" w:fill="d7e4bc" w:themeFill="accent3" w:themeFillTint="66"/>
      </w:tcPr>
    </w:tblStylePr>
    <w:tblStylePr w:type="band1Horz">
      <w:tblPr/>
      <w:tcPr>
        <w:shd w:val="clear" w:color="auto" w:fill="ccddab" w:themeFill="accent3" w:themeFillTint="7f"/>
      </w:tcPr>
    </w:tblStylePr>
  </w:style>
  <w:style w:type="table" w:styleId="ColorfulShadingAccent4">
    <w:name w:val="Colorful Shading Accent 4"/>
    <w:basedOn w:val="NormalTable"/>
    <w:uiPriority w:val="71"/>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sz="4" w:space="0"/>
          <w:left w:val="nil" w:sz="4" w:space="0"/>
          <w:bottom w:val="single" w:color="9bbb59" w:themeColor="accent3"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sz="4" w:space="0"/>
          <w:left w:val="nil" w:sz="4" w:space="0"/>
          <w:bottom w:val="nil" w:sz="4" w:space="0"/>
          <w:right w:val="nil" w:sz="4" w:space="0"/>
          <w:insideH w:val="single" w:color="4c3a62" w:themeColor="accent4" w:themeShade="99" w:sz="4" w:space="0"/>
          <w:insideV w:val="nil" w:sz="4" w:space="0"/>
        </w:tcBorders>
        <w:shd w:val="clear" w:color="auto" w:fill="4c3a62" w:themeFill="accent4"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4c3a62" w:themeFill="accent4" w:themeFillShade="99"/>
      </w:tcPr>
    </w:tblStylePr>
    <w:tblStylePr w:type="band1Vert">
      <w:tblPr/>
      <w:tcPr>
        <w:shd w:val="clear" w:color="auto" w:fill="ccc0da" w:themeFill="accent4" w:themeFillTint="66"/>
      </w:tcPr>
    </w:tblStylePr>
    <w:tblStylePr w:type="band1Horz">
      <w:tblPr/>
      <w:tcPr>
        <w:shd w:val="clear" w:color="auto" w:fill="bfb1d1"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NormalTable"/>
    <w:uiPriority w:val="71"/>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sz="4" w:space="0"/>
          <w:left w:val="nil" w:sz="4" w:space="0"/>
          <w:bottom w:val="single" w:color="f79646" w:themeColor="accent6"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97b" w:themeFill="accent5" w:themeFillShade="99"/>
      </w:tcPr>
    </w:tblStylePr>
    <w:tblStylePr w:type="firstCol">
      <w:rPr>
        <w:color w:val="ffffff" w:themeColor="background1"/>
      </w:rPr>
      <w:tblPr/>
      <w:tcPr>
        <w:tcBorders>
          <w:top w:val="nil" w:sz="4" w:space="0"/>
          <w:left w:val="nil" w:sz="4" w:space="0"/>
          <w:bottom w:val="nil" w:sz="4" w:space="0"/>
          <w:right w:val="nil" w:sz="4" w:space="0"/>
          <w:insideH w:val="single" w:color="27697b" w:themeColor="accent5" w:themeShade="99" w:sz="4" w:space="0"/>
          <w:insideV w:val="nil" w:sz="4" w:space="0"/>
        </w:tcBorders>
        <w:shd w:val="clear" w:color="auto" w:fill="27697b" w:themeFill="accent5"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27697b" w:themeFill="accent5" w:themeFillShade="99"/>
      </w:tcPr>
    </w:tblStylePr>
    <w:tblStylePr w:type="band1Vert">
      <w:tblPr/>
      <w:tcPr>
        <w:shd w:val="clear" w:color="auto" w:fill="b6dde8" w:themeFill="accent5" w:themeFillTint="66"/>
      </w:tcPr>
    </w:tblStylePr>
    <w:tblStylePr w:type="band1Horz">
      <w:tblPr/>
      <w:tcPr>
        <w:shd w:val="clear" w:color="auto" w:fill="a4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NormalTable"/>
    <w:uiPriority w:val="71"/>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sz="4" w:space="0"/>
          <w:left w:val="nil" w:sz="4" w:space="0"/>
          <w:bottom w:val="single" w:color="4bacc6" w:themeColor="accent5" w:sz="24" w:space="0"/>
          <w:right w:val="nil" w:sz="4" w:space="0"/>
          <w:insideH w:val="nil" w:sz="4" w:space="0"/>
          <w:insideV w:val="nil" w:sz="4" w:space="0"/>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45608" w:themeFill="accent6" w:themeFillShade="99"/>
      </w:tcPr>
    </w:tblStylePr>
    <w:tblStylePr w:type="firstCol">
      <w:rPr>
        <w:color w:val="ffffff" w:themeColor="background1"/>
      </w:rPr>
      <w:tblPr/>
      <w:tcPr>
        <w:tcBorders>
          <w:top w:val="nil" w:sz="4" w:space="0"/>
          <w:left w:val="nil" w:sz="4" w:space="0"/>
          <w:bottom w:val="nil" w:sz="4" w:space="0"/>
          <w:right w:val="nil" w:sz="4" w:space="0"/>
          <w:insideH w:val="single" w:color="b45608" w:themeColor="accent6" w:themeShade="99" w:sz="4" w:space="0"/>
          <w:insideV w:val="nil" w:sz="4" w:space="0"/>
        </w:tcBorders>
        <w:shd w:val="clear" w:color="auto" w:fill="b45608" w:themeFill="accent6" w:themeFillShade="99"/>
      </w:tcPr>
    </w:tblStylePr>
    <w:tblStylePr w:type="lastCol">
      <w:rPr>
        <w:color w:val="ffffff" w:themeColor="background1"/>
      </w:rPr>
      <w:tblPr/>
      <w:tcPr>
        <w:tcBorders>
          <w:top w:val="nil" w:sz="4" w:space="0"/>
          <w:left w:val="nil" w:sz="4" w:space="0"/>
          <w:bottom w:val="nil" w:sz="4" w:space="0"/>
          <w:right w:val="nil" w:sz="4" w:space="0"/>
          <w:insideH w:val="nil" w:sz="4" w:space="0"/>
          <w:insideV w:val="nil" w:sz="4" w:space="0"/>
        </w:tcBorders>
        <w:shd w:val="clear" w:color="auto" w:fill="b45608" w:themeFill="accent6" w:themeFillShade="99"/>
      </w:tcPr>
    </w:tblStylePr>
    <w:tblStylePr w:type="band1Vert">
      <w:tblPr/>
      <w:tcPr>
        <w:shd w:val="clear" w:color="auto" w:fill="fcd5b4" w:themeFill="accent6" w:themeFillTint="66"/>
      </w:tcPr>
    </w:tblStylePr>
    <w:tblStylePr w:type="band1Horz">
      <w:tblPr/>
      <w:tcPr>
        <w:shd w:val="clear" w:color="auto" w:fill="fbcaa1"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3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3e0ef"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9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efd4d3" w:themeFill="accent2" w:themeFillTint="3f"/>
      </w:tcPr>
    </w:tblStylePr>
    <w:tblStylePr w:type="band1Horz">
      <w:tblPr/>
      <w:tcPr>
        <w:shd w:val="clear" w:color="auto" w:fill="f2dbda" w:themeFill="accent2" w:themeFillTint="33"/>
      </w:tcPr>
    </w:tblStylePr>
  </w:style>
  <w:style w:type="table" w:styleId="ColorfulListAccent3">
    <w:name w:val="Colorful List Accent 3"/>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e6eed6"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d9c40" w:themeFill="accent3" w:themeFillShade="cc"/>
      </w:tcPr>
    </w:tblStylePr>
    <w:tblStylePr w:type="lastRow">
      <w:rPr>
        <w:b/>
        <w:bCs/>
        <w:color w:val="7d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fd8e8" w:themeFill="accent4" w:themeFillTint="3f"/>
      </w:tcPr>
    </w:tblStylePr>
    <w:tblStylePr w:type="band1Horz">
      <w:tblPr/>
      <w:tcPr>
        <w:shd w:val="clear" w:color="auto" w:fill="e5e0ec" w:themeFill="accent4" w:themeFillTint="33"/>
      </w:tcPr>
    </w:tblStylePr>
  </w:style>
  <w:style w:type="table" w:styleId="ColorfulListAccent5">
    <w:name w:val="Colorful List Accent 5"/>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d1eaf1" w:themeFill="accent5" w:themeFillTint="3f"/>
      </w:tcPr>
    </w:tblStylePr>
    <w:tblStylePr w:type="band1Horz">
      <w:tblPr/>
      <w:tcPr>
        <w:shd w:val="clear" w:color="auto" w:fill="dbeef3" w:themeFill="accent5" w:themeFillTint="33"/>
      </w:tcPr>
    </w:tblStylePr>
  </w:style>
  <w:style w:type="table" w:styleId="ColorfulListAccent6">
    <w:name w:val="Colorful List Accent 6"/>
    <w:basedOn w:val="NormalTable"/>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ca4" w:themeFill="accent5" w:themeFillShade="cc"/>
      </w:tcPr>
    </w:tblStylePr>
    <w:tblStylePr w:type="lastRow">
      <w:rPr>
        <w:b/>
        <w:bCs/>
        <w:color w:val="348ca4"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sz="4" w:space="0"/>
          <w:left w:val="nil" w:sz="4" w:space="0"/>
          <w:bottom w:val="nil" w:sz="4" w:space="0"/>
          <w:right w:val="nil" w:sz="4" w:space="0"/>
          <w:insideH w:val="nil" w:sz="4" w:space="0"/>
          <w:insideV w:val="nil" w:sz="4" w:space="0"/>
        </w:tcBorders>
        <w:shd w:val="clear" w:color="auto" w:fill="fde5d1" w:themeFill="accent6" w:themeFillTint="3f"/>
      </w:tcPr>
    </w:tblStylePr>
    <w:tblStylePr w:type="band1Horz">
      <w:tblPr/>
      <w:tcPr>
        <w:shd w:val="clear" w:color="auto" w:fill="fde9d9" w:themeFill="accent6" w:themeFillTint="33"/>
      </w:tcPr>
    </w:tblStylePr>
  </w:style>
  <w:style w:type="table" w:styleId="ColorfulGrid">
    <w:name w:val="Colorful Grid"/>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76091" w:themeFill="accent1" w:themeFillShade="bf"/>
      </w:tcPr>
    </w:tblStylePr>
    <w:tblStylePr w:type="lastCol">
      <w:rPr>
        <w:color w:val="ffffff" w:themeColor="background1"/>
      </w:rPr>
      <w:tblPr/>
      <w:tcPr>
        <w:shd w:val="clear" w:color="auto" w:fill="376091" w:themeFill="accent1" w:themeFillShade="bf"/>
      </w:tcPr>
    </w:tblStylePr>
    <w:tblStylePr w:type="band1Vert">
      <w:tblPr/>
      <w:tcPr>
        <w:shd w:val="clear" w:color="auto" w:fill="a6bfde" w:themeFill="accent1" w:themeFillTint="7f"/>
      </w:tcPr>
    </w:tblStylePr>
    <w:tblStylePr w:type="band1Horz">
      <w:tblPr/>
      <w:tcPr>
        <w:shd w:val="clear" w:color="auto" w:fill="a6bfde" w:themeFill="accent1" w:themeFillTint="7f"/>
      </w:tcPr>
    </w:tblStylePr>
  </w:style>
  <w:style w:type="table" w:styleId="ColorfulGridAccent2">
    <w:name w:val="Colorful Grid Accent 2"/>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a"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6a5" w:themeFill="accent2" w:themeFillTint="7f"/>
      </w:tcPr>
    </w:tblStylePr>
    <w:tblStylePr w:type="band1Horz">
      <w:tblPr/>
      <w:tcPr>
        <w:shd w:val="clear" w:color="auto" w:fill="dfa6a5" w:themeFill="accent2" w:themeFillTint="7f"/>
      </w:tcPr>
    </w:tblStylePr>
  </w:style>
  <w:style w:type="table" w:styleId="ColorfulGridAccent3">
    <w:name w:val="Colorful Grid Accent 3"/>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7e4bc" w:themeFill="accent3" w:themeFillTint="66"/>
      </w:tcPr>
    </w:tblStylePr>
    <w:tblStylePr w:type="lastRow">
      <w:rPr>
        <w:b/>
        <w:bCs/>
        <w:color w:val="000000" w:themeColor="text1"/>
      </w:rPr>
      <w:tblPr/>
      <w:tcPr>
        <w:shd w:val="clear" w:color="auto" w:fill="d7e4bc" w:themeFill="accent3" w:themeFillTint="66"/>
      </w:tcPr>
    </w:tblStylePr>
    <w:tblStylePr w:type="firstCol">
      <w:rPr>
        <w:color w:val="ffffff" w:themeColor="background1"/>
      </w:rPr>
      <w:tblPr/>
      <w:tcPr>
        <w:shd w:val="clear" w:color="auto" w:fill="75923c" w:themeFill="accent3" w:themeFillShade="bf"/>
      </w:tcPr>
    </w:tblStylePr>
    <w:tblStylePr w:type="lastCol">
      <w:rPr>
        <w:color w:val="ffffff" w:themeColor="background1"/>
      </w:rPr>
      <w:tblPr/>
      <w:tcPr>
        <w:shd w:val="clear" w:color="auto" w:fill="75923c" w:themeFill="accent3" w:themeFillShade="bf"/>
      </w:tcPr>
    </w:tblStylePr>
    <w:tblStylePr w:type="band1Vert">
      <w:tblPr/>
      <w:tcPr>
        <w:shd w:val="clear" w:color="auto" w:fill="ccddab" w:themeFill="accent3" w:themeFillTint="7f"/>
      </w:tcPr>
    </w:tblStylePr>
    <w:tblStylePr w:type="band1Horz">
      <w:tblPr/>
      <w:tcPr>
        <w:shd w:val="clear" w:color="auto" w:fill="ccddab" w:themeFill="accent3" w:themeFillTint="7f"/>
      </w:tcPr>
    </w:tblStylePr>
  </w:style>
  <w:style w:type="table" w:styleId="ColorfulGridAccent4">
    <w:name w:val="Colorful Grid Accent 4"/>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e0ec" w:themeFill="accent4" w:themeFillTint="33"/>
    </w:tcPr>
    <w:tblStylePr w:type="firstRow">
      <w:rPr>
        <w:b/>
        <w:bCs/>
      </w:rPr>
      <w:tblPr/>
      <w:tcPr>
        <w:shd w:val="clear" w:color="auto" w:fill="ccc0da" w:themeFill="accent4" w:themeFillTint="66"/>
      </w:tcPr>
    </w:tblStylePr>
    <w:tblStylePr w:type="lastRow">
      <w:rPr>
        <w:b/>
        <w:bCs/>
        <w:color w:val="000000" w:themeColor="text1"/>
      </w:rPr>
      <w:tblPr/>
      <w:tcPr>
        <w:shd w:val="clear" w:color="auto" w:fill="ccc0da" w:themeFill="accent4" w:themeFillTint="66"/>
      </w:tcPr>
    </w:tblStylePr>
    <w:tblStylePr w:type="firstCol">
      <w:rPr>
        <w:color w:val="ffffff" w:themeColor="background1"/>
      </w:rPr>
      <w:tblPr/>
      <w:tcPr>
        <w:shd w:val="clear" w:color="auto" w:fill="60497b" w:themeFill="accent4" w:themeFillShade="bf"/>
      </w:tcPr>
    </w:tblStylePr>
    <w:tblStylePr w:type="lastCol">
      <w:rPr>
        <w:color w:val="ffffff" w:themeColor="background1"/>
      </w:rPr>
      <w:tblPr/>
      <w:tcPr>
        <w:shd w:val="clear" w:color="auto" w:fill="60497b" w:themeFill="accent4" w:themeFillShade="bf"/>
      </w:tcPr>
    </w:tblStylePr>
    <w:tblStylePr w:type="band1Vert">
      <w:tblPr/>
      <w:tcPr>
        <w:shd w:val="clear" w:color="auto" w:fill="bfb1d1" w:themeFill="accent4" w:themeFillTint="7f"/>
      </w:tcPr>
    </w:tblStylePr>
    <w:tblStylePr w:type="band1Horz">
      <w:tblPr/>
      <w:tcPr>
        <w:shd w:val="clear" w:color="auto" w:fill="bfb1d1" w:themeFill="accent4" w:themeFillTint="7f"/>
      </w:tcPr>
    </w:tblStylePr>
  </w:style>
  <w:style w:type="table" w:styleId="ColorfulGridAccent5">
    <w:name w:val="Colorful Grid Accent 5"/>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399" w:themeFill="accent5" w:themeFillShade="bf"/>
      </w:tcPr>
    </w:tblStylePr>
    <w:tblStylePr w:type="lastCol">
      <w:rPr>
        <w:color w:val="ffffff" w:themeColor="background1"/>
      </w:rPr>
      <w:tblPr/>
      <w:tcPr>
        <w:shd w:val="clear" w:color="auto" w:fill="318399" w:themeFill="accent5" w:themeFillShade="bf"/>
      </w:tcPr>
    </w:tblStylePr>
    <w:tblStylePr w:type="band1Vert">
      <w:tblPr/>
      <w:tcPr>
        <w:shd w:val="clear" w:color="auto" w:fill="a4d5e2" w:themeFill="accent5" w:themeFillTint="7f"/>
      </w:tcPr>
    </w:tblStylePr>
    <w:tblStylePr w:type="band1Horz">
      <w:tblPr/>
      <w:tcPr>
        <w:shd w:val="clear" w:color="auto" w:fill="a4d5e2" w:themeFill="accent5" w:themeFillTint="7f"/>
      </w:tcPr>
    </w:tblStylePr>
  </w:style>
  <w:style w:type="table" w:styleId="ColorfulGridAccent6">
    <w:name w:val="Colorful Grid Accent 6"/>
    <w:basedOn w:val="NormalTable"/>
    <w:uiPriority w:val="73"/>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cd5b4" w:themeFill="accent6" w:themeFillTint="66"/>
      </w:tcPr>
    </w:tblStylePr>
    <w:tblStylePr w:type="lastRow">
      <w:rPr>
        <w:b/>
        <w:bCs/>
        <w:color w:val="000000" w:themeColor="text1"/>
      </w:rPr>
      <w:tblPr/>
      <w:tcPr>
        <w:shd w:val="clear" w:color="auto" w:fill="fcd5b4" w:themeFill="accent6" w:themeFillTint="66"/>
      </w:tcPr>
    </w:tblStylePr>
    <w:tblStylePr w:type="firstCol">
      <w:rPr>
        <w:color w:val="ffffff" w:themeColor="background1"/>
      </w:rPr>
      <w:tblPr/>
      <w:tcPr>
        <w:shd w:val="clear" w:color="auto" w:fill="e26c0a" w:themeFill="accent6" w:themeFillShade="bf"/>
      </w:tcPr>
    </w:tblStylePr>
    <w:tblStylePr w:type="lastCol">
      <w:rPr>
        <w:color w:val="ffffff" w:themeColor="background1"/>
      </w:rPr>
      <w:tblPr/>
      <w:tcPr>
        <w:shd w:val="clear" w:color="auto" w:fill="e26c0a" w:themeFill="accent6" w:themeFillShade="bf"/>
      </w:tcPr>
    </w:tblStylePr>
    <w:tblStylePr w:type="band1Vert">
      <w:tblPr/>
      <w:tcPr>
        <w:shd w:val="clear" w:color="auto" w:fill="fbcaa1" w:themeFill="accent6" w:themeFillTint="7f"/>
      </w:tcPr>
    </w:tblStylePr>
    <w:tblStylePr w:type="band1Horz">
      <w:tblPr/>
      <w:tcPr>
        <w:shd w:val="clear" w:color="auto" w:fill="fbcaa1" w:themeFill="accent6" w:themeFillTint="7f"/>
      </w:tcPr>
    </w:tblStylePr>
  </w:style>
  <w:style w:type="paragraph" w:customStyle="1" w:styleId="CVSection">
    <w:name w:val="CV Section"/>
    <w:uiPriority w:val="99"/>
    <w:rPr>
      <w:rFonts w:ascii="Aptos" w:hAnsi="Aptos"/>
      <w:b/>
      <w:color w:val="17365d"/>
      <w:sz w:val="24"/>
    </w:rPr>
  </w:style>
  <w:style w:type="paragraph" w:customStyle="1" w:styleId="CVSubhead">
    <w:name w:val="CV Subhead"/>
    <w:uiPriority w:val="99"/>
    <w:rPr>
      <w:rFonts w:ascii="Aptos" w:hAnsi="Aptos"/>
      <w:b/>
      <w:color w:val="17365d"/>
      <w:sz w:val="21"/>
    </w:rPr>
  </w:style>
  <w:style w:type="paragraph" w:customStyle="1" w:styleId="CVSmall">
    <w:name w:val="CV Small"/>
    <w:uiPriority w:val="99"/>
    <w:rPr>
      <w:rFonts w:ascii="Aptos" w:hAnsi="Aptos"/>
      <w:b w:val="off"/>
      <w:color w:val="444444"/>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4" Type="http://schemas.openxmlformats.org/officeDocument/2006/relationships/footer" Target="footer1.xml"/><Relationship Id="rId2" Type="http://schemas.openxmlformats.org/officeDocument/2006/relationships/numbering" Target="numbering.xml"/><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4" Type="http://schemas.microsoft.com/office/2007/relationships/stylesWithEffects" Target="stylesWithEffects.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mbria"/>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generated by python-docx</dc:description>
  <dc:creator>python-docx</dc:creator>
  <cp:lastModifiedBy>Eugene Fregetto</cp:lastModifiedBy>
</cp:coreProperties>
</file>